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3604">
      <w:pPr>
        <w:ind w:firstLine="720" w:firstLineChars="100"/>
        <w:rPr>
          <w:rFonts w:hint="eastAsia" w:asciiTheme="minorEastAsia" w:hAnsiTheme="minorEastAsia"/>
          <w:b/>
          <w:color w:val="FF0000"/>
          <w:w w:val="66"/>
          <w:sz w:val="100"/>
          <w:szCs w:val="100"/>
        </w:rPr>
      </w:pPr>
      <w:r>
        <w:rPr>
          <w:sz w:val="72"/>
        </w:rPr>
        <mc:AlternateContent>
          <mc:Choice Requires="wps">
            <w:drawing>
              <wp:anchor distT="0" distB="0" distL="114300" distR="114300" simplePos="0" relativeHeight="251659264" behindDoc="0" locked="0" layoutInCell="1" allowOverlap="1">
                <wp:simplePos x="0" y="0"/>
                <wp:positionH relativeFrom="column">
                  <wp:posOffset>3129280</wp:posOffset>
                </wp:positionH>
                <wp:positionV relativeFrom="paragraph">
                  <wp:posOffset>-4445</wp:posOffset>
                </wp:positionV>
                <wp:extent cx="2208530" cy="1013460"/>
                <wp:effectExtent l="0" t="0" r="1270" b="7620"/>
                <wp:wrapNone/>
                <wp:docPr id="2" name="文本框 2"/>
                <wp:cNvGraphicFramePr/>
                <a:graphic xmlns:a="http://schemas.openxmlformats.org/drawingml/2006/main">
                  <a:graphicData uri="http://schemas.microsoft.com/office/word/2010/wordprocessingShape">
                    <wps:wsp>
                      <wps:cNvSpPr txBox="1"/>
                      <wps:spPr>
                        <a:xfrm>
                          <a:off x="0" y="0"/>
                          <a:ext cx="2208530" cy="1013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BB6B67D">
                            <w:pPr>
                              <w:spacing w:before="312" w:beforeLines="100" w:line="400" w:lineRule="exact"/>
                              <w:jc w:val="distribute"/>
                              <w:rPr>
                                <w:rFonts w:hint="eastAsia" w:asciiTheme="minorEastAsia" w:hAnsiTheme="minorEastAsia"/>
                                <w:b/>
                                <w:color w:val="FF0000"/>
                                <w:w w:val="66"/>
                                <w:sz w:val="72"/>
                                <w:szCs w:val="72"/>
                              </w:rPr>
                            </w:pPr>
                            <w:r>
                              <w:rPr>
                                <w:rFonts w:hint="eastAsia" w:asciiTheme="minorEastAsia" w:hAnsiTheme="minorEastAsia"/>
                                <w:b/>
                                <w:color w:val="FF0000"/>
                                <w:w w:val="66"/>
                                <w:sz w:val="72"/>
                                <w:szCs w:val="72"/>
                              </w:rPr>
                              <w:t>人工智能学院</w:t>
                            </w:r>
                          </w:p>
                          <w:p w14:paraId="7B838B9C">
                            <w:pPr>
                              <w:spacing w:before="312" w:beforeLines="100" w:line="400" w:lineRule="exact"/>
                              <w:jc w:val="distribute"/>
                              <w:rPr>
                                <w:rFonts w:hint="eastAsia"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008FD457">
                            <w:pPr>
                              <w:spacing w:before="312" w:beforeLines="100" w:line="400" w:lineRule="exact"/>
                              <w:jc w:val="distribute"/>
                              <w:rPr>
                                <w:b/>
                                <w:w w:val="66"/>
                                <w:sz w:val="28"/>
                                <w:szCs w:val="28"/>
                              </w:rPr>
                            </w:pPr>
                          </w:p>
                          <w:p w14:paraId="28D1BA0A">
                            <w:pPr>
                              <w:spacing w:before="312" w:beforeLines="100" w:line="400" w:lineRule="exact"/>
                              <w:jc w:val="distribute"/>
                              <w:rPr>
                                <w:rFonts w:hint="eastAsia" w:asciiTheme="minorEastAsia" w:hAnsiTheme="minorEastAsia"/>
                                <w:b/>
                                <w:color w:val="FF0000"/>
                                <w:w w:val="66"/>
                                <w:sz w:val="72"/>
                                <w:szCs w:val="72"/>
                              </w:rPr>
                            </w:pPr>
                          </w:p>
                          <w:p w14:paraId="10DAE076">
                            <w:pPr>
                              <w:spacing w:line="400" w:lineRule="exact"/>
                              <w:jc w:val="distribute"/>
                              <w:rPr>
                                <w:w w:val="6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4pt;margin-top:-0.35pt;height:79.8pt;width:173.9pt;z-index:251659264;mso-width-relative:page;mso-height-relative:page;" fillcolor="#FFFFFF [3201]" filled="t" stroked="f" coordsize="21600,21600" o:gfxdata="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5R9KdUAAAAJAQAADwAA&#10;AAAAAAABACAAAAAiAAAAZHJzL2Rvd25yZXYueG1sUEsBAhQAFAAAAAgAh07iQOiBsiBSAgAAkAQA&#10;AA4AAAAAAAAAAQAgAAAAJAEAAGRycy9lMm9Eb2MueG1sUEsFBgAAAAAGAAYAWQEAAOgFAAAAAA==&#10;">
                <v:fill on="t" focussize="0,0"/>
                <v:stroke on="f" weight="0.5pt"/>
                <v:imagedata o:title=""/>
                <o:lock v:ext="edit" aspectratio="f"/>
                <v:textbox>
                  <w:txbxContent>
                    <w:p w14:paraId="0BB6B67D">
                      <w:pPr>
                        <w:spacing w:before="312" w:beforeLines="100" w:line="400" w:lineRule="exact"/>
                        <w:jc w:val="distribute"/>
                        <w:rPr>
                          <w:rFonts w:hint="eastAsia" w:asciiTheme="minorEastAsia" w:hAnsiTheme="minorEastAsia"/>
                          <w:b/>
                          <w:color w:val="FF0000"/>
                          <w:w w:val="66"/>
                          <w:sz w:val="72"/>
                          <w:szCs w:val="72"/>
                        </w:rPr>
                      </w:pPr>
                      <w:r>
                        <w:rPr>
                          <w:rFonts w:hint="eastAsia" w:asciiTheme="minorEastAsia" w:hAnsiTheme="minorEastAsia"/>
                          <w:b/>
                          <w:color w:val="FF0000"/>
                          <w:w w:val="66"/>
                          <w:sz w:val="72"/>
                          <w:szCs w:val="72"/>
                        </w:rPr>
                        <w:t>人工智能学院</w:t>
                      </w:r>
                    </w:p>
                    <w:p w14:paraId="7B838B9C">
                      <w:pPr>
                        <w:spacing w:before="312" w:beforeLines="100" w:line="400" w:lineRule="exact"/>
                        <w:jc w:val="distribute"/>
                        <w:rPr>
                          <w:rFonts w:hint="eastAsia" w:asciiTheme="minorEastAsia" w:hAnsiTheme="minorEastAsia"/>
                          <w:b/>
                          <w:color w:val="FF0000"/>
                          <w:w w:val="66"/>
                          <w:sz w:val="72"/>
                          <w:szCs w:val="72"/>
                        </w:rPr>
                      </w:pPr>
                      <w:r>
                        <w:rPr>
                          <w:rFonts w:hint="eastAsia" w:asciiTheme="minorEastAsia" w:hAnsiTheme="minorEastAsia"/>
                          <w:b/>
                          <w:color w:val="FF0000"/>
                          <w:w w:val="66"/>
                          <w:sz w:val="72"/>
                          <w:szCs w:val="72"/>
                        </w:rPr>
                        <w:t>软件学院</w:t>
                      </w:r>
                    </w:p>
                    <w:p w14:paraId="008FD457">
                      <w:pPr>
                        <w:spacing w:before="312" w:beforeLines="100" w:line="400" w:lineRule="exact"/>
                        <w:jc w:val="distribute"/>
                        <w:rPr>
                          <w:b/>
                          <w:w w:val="66"/>
                          <w:sz w:val="28"/>
                          <w:szCs w:val="28"/>
                        </w:rPr>
                      </w:pPr>
                    </w:p>
                    <w:p w14:paraId="28D1BA0A">
                      <w:pPr>
                        <w:spacing w:before="312" w:beforeLines="100" w:line="400" w:lineRule="exact"/>
                        <w:jc w:val="distribute"/>
                        <w:rPr>
                          <w:rFonts w:hint="eastAsia" w:asciiTheme="minorEastAsia" w:hAnsiTheme="minorEastAsia"/>
                          <w:b/>
                          <w:color w:val="FF0000"/>
                          <w:w w:val="66"/>
                          <w:sz w:val="72"/>
                          <w:szCs w:val="72"/>
                        </w:rPr>
                      </w:pPr>
                    </w:p>
                    <w:p w14:paraId="10DAE076">
                      <w:pPr>
                        <w:spacing w:line="400" w:lineRule="exact"/>
                        <w:jc w:val="distribute"/>
                        <w:rPr>
                          <w:w w:val="66"/>
                        </w:rPr>
                      </w:pPr>
                    </w:p>
                  </w:txbxContent>
                </v:textbox>
              </v:shape>
            </w:pict>
          </mc:Fallback>
        </mc:AlternateContent>
      </w:r>
      <w:r>
        <w:rPr>
          <w:rFonts w:hint="eastAsia" w:asciiTheme="minorEastAsia" w:hAnsiTheme="minorEastAsia"/>
          <w:b/>
          <w:color w:val="FF0000"/>
          <w:w w:val="66"/>
          <w:sz w:val="100"/>
          <w:szCs w:val="100"/>
        </w:rPr>
        <w:t>盐城师范学院</w:t>
      </w:r>
    </w:p>
    <w:p w14:paraId="2C9BD70A">
      <w:pPr>
        <w:jc w:val="center"/>
        <w:rPr>
          <w:rFonts w:ascii="仿宋" w:eastAsia="仿宋"/>
          <w:sz w:val="32"/>
          <w:szCs w:val="32"/>
        </w:rPr>
      </w:pPr>
      <w:r>
        <w:rPr>
          <w:rFonts w:hint="eastAsia" w:ascii="仿宋" w:eastAsia="仿宋"/>
          <w:sz w:val="32"/>
          <w:szCs w:val="32"/>
        </w:rPr>
        <w:t>盐师院</w:t>
      </w:r>
      <w:r>
        <w:rPr>
          <w:rFonts w:hint="eastAsia" w:ascii="仿宋" w:eastAsia="仿宋"/>
          <w:sz w:val="32"/>
          <w:szCs w:val="32"/>
          <w:lang w:val="en-US" w:eastAsia="zh-CN"/>
        </w:rPr>
        <w:t>智能</w:t>
      </w:r>
      <w:r>
        <w:rPr>
          <w:rFonts w:hint="eastAsia" w:ascii="仿宋" w:eastAsia="仿宋"/>
          <w:sz w:val="32"/>
          <w:szCs w:val="32"/>
        </w:rPr>
        <w:t>〔202</w:t>
      </w:r>
      <w:r>
        <w:rPr>
          <w:rFonts w:hint="eastAsia" w:ascii="仿宋" w:eastAsia="仿宋"/>
          <w:sz w:val="32"/>
          <w:szCs w:val="32"/>
          <w:lang w:val="en-US" w:eastAsia="zh-CN"/>
        </w:rPr>
        <w:t>6</w:t>
      </w:r>
      <w:r>
        <w:rPr>
          <w:rFonts w:hint="eastAsia" w:ascii="仿宋" w:eastAsia="仿宋"/>
          <w:sz w:val="32"/>
          <w:szCs w:val="32"/>
        </w:rPr>
        <w:t>〕</w:t>
      </w:r>
      <w:r>
        <w:rPr>
          <w:rFonts w:hint="eastAsia" w:ascii="仿宋" w:eastAsia="仿宋"/>
          <w:sz w:val="32"/>
          <w:szCs w:val="32"/>
          <w:lang w:val="en-US" w:eastAsia="zh-CN"/>
        </w:rPr>
        <w:t>5</w:t>
      </w:r>
      <w:r>
        <w:rPr>
          <w:rFonts w:hint="eastAsia" w:ascii="仿宋" w:eastAsia="仿宋"/>
          <w:sz w:val="32"/>
          <w:szCs w:val="32"/>
        </w:rPr>
        <w:t>号</w:t>
      </w:r>
    </w:p>
    <w:p w14:paraId="27C6CDEA">
      <w:pPr>
        <w:widowControl/>
        <w:rPr>
          <w:rFonts w:hint="eastAsia" w:ascii="华文中宋" w:hAnsi="华文中宋" w:eastAsia="华文中宋" w:cs="Times New Roman"/>
          <w:color w:val="1F2329"/>
          <w:kern w:val="0"/>
          <w:sz w:val="32"/>
          <w:szCs w:val="32"/>
          <w:shd w:val="clear" w:color="auto" w:fill="FFFFFF"/>
        </w:rPr>
      </w:pPr>
      <w:r>
        <w:rPr>
          <w:rFonts w:hint="eastAsia" w:ascii="宋体" w:hAnsi="宋体"/>
        </w:rPr>
        <w:drawing>
          <wp:inline distT="0" distB="0" distL="0" distR="0">
            <wp:extent cx="5909945" cy="1314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394211" cy="142248"/>
                    </a:xfrm>
                    <a:prstGeom prst="rect">
                      <a:avLst/>
                    </a:prstGeom>
                    <a:noFill/>
                    <a:ln>
                      <a:noFill/>
                    </a:ln>
                  </pic:spPr>
                </pic:pic>
              </a:graphicData>
            </a:graphic>
          </wp:inline>
        </w:drawing>
      </w:r>
    </w:p>
    <w:p w14:paraId="10D64F78">
      <w:pPr>
        <w:spacing w:before="156" w:beforeLines="50" w:after="156" w:afterLines="50" w:line="360" w:lineRule="auto"/>
        <w:jc w:val="center"/>
        <w:rPr>
          <w:rFonts w:ascii="Times New Roman" w:hAnsi="Times New Roman" w:cs="Times New Roman"/>
          <w:sz w:val="44"/>
          <w:szCs w:val="44"/>
        </w:rPr>
      </w:pPr>
      <w:r>
        <w:rPr>
          <w:rFonts w:ascii="Times New Roman" w:hAnsi="Times New Roman" w:cs="Times New Roman"/>
          <w:sz w:val="44"/>
          <w:szCs w:val="44"/>
        </w:rPr>
        <w:t>人工智能学院学业预警及帮扶实施办法（修订）</w:t>
      </w:r>
    </w:p>
    <w:p w14:paraId="08B370AF">
      <w:pPr>
        <w:spacing w:before="156" w:before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第一条</w:t>
      </w:r>
      <w:r>
        <w:rPr>
          <w:rFonts w:ascii="Times New Roman" w:hAnsi="Times New Roman" w:cs="Times New Roman"/>
          <w:sz w:val="24"/>
          <w:szCs w:val="24"/>
        </w:rPr>
        <w:t xml:space="preserve"> 为引导学生加强自我管理，自我约束，增强</w:t>
      </w:r>
      <w:bookmarkStart w:id="0" w:name="_GoBack"/>
      <w:bookmarkEnd w:id="0"/>
      <w:r>
        <w:rPr>
          <w:rFonts w:ascii="Times New Roman" w:hAnsi="Times New Roman" w:cs="Times New Roman"/>
          <w:sz w:val="24"/>
          <w:szCs w:val="24"/>
        </w:rPr>
        <w:t>其学习的积极性与主动性，依据《盐城师范学院本科生学分制管理办法》相关要求，本着以人为本的原则，对学生的学习过程进行监控，对学业困难的学生给予及时的警示，并实施针对性的指导和帮扶措施，强化学生对专业培养目标、毕业要求及其达成路径的认识，促进学生顺利完成学业，特制定本实施办法。</w:t>
      </w:r>
    </w:p>
    <w:p w14:paraId="66F6A4FE">
      <w:pPr>
        <w:spacing w:before="156" w:beforeLines="50" w:after="156" w:after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第二条</w:t>
      </w:r>
      <w:r>
        <w:rPr>
          <w:rFonts w:ascii="Times New Roman" w:hAnsi="Times New Roman" w:cs="Times New Roman"/>
          <w:sz w:val="24"/>
          <w:szCs w:val="24"/>
        </w:rPr>
        <w:t xml:space="preserve"> 本办法适用于我院普通全日制本科学生。</w:t>
      </w:r>
    </w:p>
    <w:p w14:paraId="1F247FB0">
      <w:pPr>
        <w:spacing w:before="156" w:beforeLines="50" w:after="156" w:after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第三条</w:t>
      </w:r>
      <w:r>
        <w:rPr>
          <w:rFonts w:ascii="Times New Roman" w:hAnsi="Times New Roman" w:cs="Times New Roman"/>
          <w:sz w:val="24"/>
          <w:szCs w:val="24"/>
        </w:rPr>
        <w:t xml:space="preserve"> 学业预警机制</w:t>
      </w:r>
    </w:p>
    <w:p w14:paraId="56434D7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(一) 学业预警是指学校根据学生管理规定、学籍管理办法及各专业人才培养方案的要求，通过对学生每学期学分获取情况进行分析，对完成学业困难学生进行警示，告知学生本人及家长可能产生的不良后果，并针对性地采取相应补救和帮扶措施，加强学生对专业毕业要求的理解与重视，帮助学生顺利完成学业的一种危机干预制度。</w:t>
      </w:r>
    </w:p>
    <w:p w14:paraId="6F00AA58">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(二) 学业预警条件</w:t>
      </w:r>
    </w:p>
    <w:p w14:paraId="0793EE6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根据《盐城师范学院本科生学分制管理办法》学业预警分为三级：黄色预警，橙色预警和红色预警。各等级对应的情况如下：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6741"/>
      </w:tblGrid>
      <w:tr w14:paraId="09EE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blHeader/>
          <w:jc w:val="center"/>
        </w:trPr>
        <w:tc>
          <w:tcPr>
            <w:tcW w:w="1555" w:type="dxa"/>
            <w:tcMar>
              <w:top w:w="180" w:type="dxa"/>
              <w:left w:w="270" w:type="dxa"/>
              <w:bottom w:w="180" w:type="dxa"/>
              <w:right w:w="270" w:type="dxa"/>
            </w:tcMar>
            <w:vAlign w:val="center"/>
          </w:tcPr>
          <w:p w14:paraId="512E9A32">
            <w:pPr>
              <w:widowControl/>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预警级别</w:t>
            </w:r>
          </w:p>
        </w:tc>
        <w:tc>
          <w:tcPr>
            <w:tcW w:w="6741" w:type="dxa"/>
            <w:tcMar>
              <w:top w:w="180" w:type="dxa"/>
              <w:left w:w="270" w:type="dxa"/>
              <w:bottom w:w="180" w:type="dxa"/>
              <w:right w:w="270" w:type="dxa"/>
            </w:tcMar>
            <w:vAlign w:val="center"/>
          </w:tcPr>
          <w:p w14:paraId="03DE5EC3">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凡有下列情形之一的，即给予相应学业预警</w:t>
            </w:r>
          </w:p>
          <w:p w14:paraId="04E61637">
            <w:pPr>
              <w:widowControl/>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(第 8 学期结束不再预警)</w:t>
            </w:r>
          </w:p>
        </w:tc>
      </w:tr>
      <w:tr w14:paraId="14D3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555" w:type="dxa"/>
            <w:vMerge w:val="restart"/>
            <w:tcMar>
              <w:top w:w="180" w:type="dxa"/>
              <w:left w:w="270" w:type="dxa"/>
              <w:bottom w:w="180" w:type="dxa"/>
              <w:right w:w="270" w:type="dxa"/>
            </w:tcMar>
            <w:vAlign w:val="center"/>
          </w:tcPr>
          <w:p w14:paraId="2FBB3DCA">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黄色预警</w:t>
            </w:r>
          </w:p>
        </w:tc>
        <w:tc>
          <w:tcPr>
            <w:tcW w:w="6741" w:type="dxa"/>
            <w:tcMar>
              <w:top w:w="180" w:type="dxa"/>
              <w:left w:w="270" w:type="dxa"/>
              <w:bottom w:w="180" w:type="dxa"/>
              <w:right w:w="270" w:type="dxa"/>
            </w:tcMar>
            <w:vAlign w:val="center"/>
          </w:tcPr>
          <w:p w14:paraId="3D3E29BA">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一学期内考核未通过课程学分数累计达 5～9.5 且不及格课程门数≥2 门。</w:t>
            </w:r>
          </w:p>
        </w:tc>
      </w:tr>
      <w:tr w14:paraId="2125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5" w:type="dxa"/>
            <w:vMerge w:val="continue"/>
            <w:tcMar>
              <w:top w:w="180" w:type="dxa"/>
              <w:left w:w="270" w:type="dxa"/>
              <w:bottom w:w="180" w:type="dxa"/>
              <w:right w:w="270" w:type="dxa"/>
            </w:tcMar>
            <w:vAlign w:val="center"/>
          </w:tcPr>
          <w:p w14:paraId="14A1FD21">
            <w:pPr>
              <w:widowControl/>
              <w:rPr>
                <w:rFonts w:ascii="Times New Roman" w:hAnsi="Times New Roman" w:cs="Times New Roman"/>
                <w:color w:val="000000"/>
                <w:kern w:val="0"/>
                <w:sz w:val="24"/>
                <w:szCs w:val="24"/>
              </w:rPr>
            </w:pPr>
          </w:p>
        </w:tc>
        <w:tc>
          <w:tcPr>
            <w:tcW w:w="6741" w:type="dxa"/>
            <w:tcMar>
              <w:top w:w="180" w:type="dxa"/>
              <w:left w:w="270" w:type="dxa"/>
              <w:bottom w:w="180" w:type="dxa"/>
              <w:right w:w="270" w:type="dxa"/>
            </w:tcMar>
            <w:vAlign w:val="center"/>
          </w:tcPr>
          <w:p w14:paraId="2578AA30">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各学期考核未通过课程学分数累计达 10～19.5。</w:t>
            </w:r>
          </w:p>
        </w:tc>
      </w:tr>
      <w:tr w14:paraId="7FE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1555" w:type="dxa"/>
            <w:vMerge w:val="restart"/>
            <w:tcMar>
              <w:top w:w="180" w:type="dxa"/>
              <w:left w:w="270" w:type="dxa"/>
              <w:bottom w:w="180" w:type="dxa"/>
              <w:right w:w="270" w:type="dxa"/>
            </w:tcMar>
            <w:vAlign w:val="center"/>
          </w:tcPr>
          <w:p w14:paraId="42384EDA">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橙色预警</w:t>
            </w:r>
          </w:p>
        </w:tc>
        <w:tc>
          <w:tcPr>
            <w:tcW w:w="6741" w:type="dxa"/>
            <w:tcMar>
              <w:top w:w="180" w:type="dxa"/>
              <w:left w:w="270" w:type="dxa"/>
              <w:bottom w:w="180" w:type="dxa"/>
              <w:right w:w="270" w:type="dxa"/>
            </w:tcMar>
            <w:vAlign w:val="center"/>
          </w:tcPr>
          <w:p w14:paraId="0535E6F4">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一学期内考核未通过课程学分数累计达 10～14.5 且不及格课程门数≥4 门。</w:t>
            </w:r>
          </w:p>
        </w:tc>
      </w:tr>
      <w:tr w14:paraId="67F2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5" w:type="dxa"/>
            <w:vMerge w:val="continue"/>
            <w:tcMar>
              <w:top w:w="180" w:type="dxa"/>
              <w:left w:w="270" w:type="dxa"/>
              <w:bottom w:w="180" w:type="dxa"/>
              <w:right w:w="270" w:type="dxa"/>
            </w:tcMar>
            <w:vAlign w:val="center"/>
          </w:tcPr>
          <w:p w14:paraId="4645F08E">
            <w:pPr>
              <w:widowControl/>
              <w:rPr>
                <w:rFonts w:ascii="Times New Roman" w:hAnsi="Times New Roman" w:cs="Times New Roman"/>
                <w:color w:val="000000"/>
                <w:kern w:val="0"/>
                <w:sz w:val="24"/>
                <w:szCs w:val="24"/>
              </w:rPr>
            </w:pPr>
          </w:p>
        </w:tc>
        <w:tc>
          <w:tcPr>
            <w:tcW w:w="6741" w:type="dxa"/>
            <w:tcMar>
              <w:top w:w="180" w:type="dxa"/>
              <w:left w:w="270" w:type="dxa"/>
              <w:bottom w:w="180" w:type="dxa"/>
              <w:right w:w="270" w:type="dxa"/>
            </w:tcMar>
            <w:vAlign w:val="center"/>
          </w:tcPr>
          <w:p w14:paraId="042A5B05">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各学期考核未通过课程学分数累计达 20～39.5。</w:t>
            </w:r>
          </w:p>
        </w:tc>
      </w:tr>
      <w:tr w14:paraId="7A2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555" w:type="dxa"/>
            <w:vMerge w:val="restart"/>
            <w:tcMar>
              <w:top w:w="180" w:type="dxa"/>
              <w:left w:w="270" w:type="dxa"/>
              <w:bottom w:w="180" w:type="dxa"/>
              <w:right w:w="270" w:type="dxa"/>
            </w:tcMar>
            <w:vAlign w:val="center"/>
          </w:tcPr>
          <w:p w14:paraId="5DB3E676">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红色预警</w:t>
            </w:r>
          </w:p>
        </w:tc>
        <w:tc>
          <w:tcPr>
            <w:tcW w:w="6741" w:type="dxa"/>
            <w:tcMar>
              <w:top w:w="180" w:type="dxa"/>
              <w:left w:w="270" w:type="dxa"/>
              <w:bottom w:w="180" w:type="dxa"/>
              <w:right w:w="270" w:type="dxa"/>
            </w:tcMar>
            <w:vAlign w:val="center"/>
          </w:tcPr>
          <w:p w14:paraId="599D14AF">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一学期内考核未通过课程学分数累计达 15 (含) 以上。</w:t>
            </w:r>
          </w:p>
        </w:tc>
      </w:tr>
      <w:tr w14:paraId="73E5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5" w:type="dxa"/>
            <w:vMerge w:val="continue"/>
            <w:tcMar>
              <w:top w:w="180" w:type="dxa"/>
              <w:left w:w="270" w:type="dxa"/>
              <w:bottom w:w="180" w:type="dxa"/>
              <w:right w:w="270" w:type="dxa"/>
            </w:tcMar>
            <w:vAlign w:val="center"/>
          </w:tcPr>
          <w:p w14:paraId="048CD6F1">
            <w:pPr>
              <w:widowControl/>
              <w:rPr>
                <w:rFonts w:ascii="Times New Roman" w:hAnsi="Times New Roman" w:cs="Times New Roman"/>
                <w:color w:val="000000"/>
                <w:kern w:val="0"/>
                <w:sz w:val="24"/>
                <w:szCs w:val="24"/>
              </w:rPr>
            </w:pPr>
          </w:p>
        </w:tc>
        <w:tc>
          <w:tcPr>
            <w:tcW w:w="6741" w:type="dxa"/>
            <w:tcMar>
              <w:top w:w="180" w:type="dxa"/>
              <w:left w:w="270" w:type="dxa"/>
              <w:bottom w:w="180" w:type="dxa"/>
              <w:right w:w="270" w:type="dxa"/>
            </w:tcMar>
            <w:vAlign w:val="center"/>
          </w:tcPr>
          <w:p w14:paraId="2A1E9FD0">
            <w:pPr>
              <w:widowControl/>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各学期考核未通过课程学分数累计达 40 (含) 以上。</w:t>
            </w:r>
          </w:p>
        </w:tc>
      </w:tr>
    </w:tbl>
    <w:p w14:paraId="4E40ABE1">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通识类任选课程(校选修课)不列入学业预警未通过课程学分统计范围内；如学生同时受到两个级别学业预警，则按高一级处理。</w:t>
      </w:r>
    </w:p>
    <w:p w14:paraId="220EAC3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(三) 学业预警处理</w:t>
      </w:r>
    </w:p>
    <w:p w14:paraId="27F236F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学业预警工作按学期进行，由教务处、学生工作处负责布置安排，由学院向学生个人及家长发放《学业预警通知书》，与学生及家长沟通后填写《预警学生谈话记录表》(黄色预警需对学生进行警示教育，橙色预警至少应与家长电话沟通，红色预警必须与家长面谈；预警谈话须保留谈话记录)，并指定专人对受预警学生进行帮扶工作。</w:t>
      </w:r>
    </w:p>
    <w:p w14:paraId="1232776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受到两次黄色预警的学生，按橙色预警处理。受到橙色预警的学生编入下一年级学习。学生在校期间受到红色预警1次或橙色预警达2次的，对于学习意愿强烈的学生，允许其申请为期一学期的退学试读，经学生本人及其家长共同签署《退学试读承诺书》后，由学院研究通过后报教务处批准执行；对于接到退学预通知后一周内未提出退学试读申请或申请未获批准的学生，按《盐城师范学院学生管理规定》作退学处理，由校长办公会议研究通过后执行。试读学期获得课程学分数少于15的，直接予以退学处理；试读学期获得课程学分数达15及以上的，允许其恢复正常学习，此后如再次受到橙色预警或红色预警，将不再接受退学试读申请，按《盐城师范学院学生管理规定》作退学处理，由校长办公会议研究通过后执行。</w:t>
      </w:r>
    </w:p>
    <w:p w14:paraId="351C22B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对来自特定生源地的学生以及高考时通过预科计划被学校录取的学生，学业预警标准分别降低一档，即橙色预警的标准视作黄色预警，红色预警的标准视作橙色预警，不设红色预警。</w:t>
      </w:r>
    </w:p>
    <w:p w14:paraId="136D3821">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(四)学业预警程序</w:t>
      </w:r>
    </w:p>
    <w:p w14:paraId="600EF57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第1-2周，启动预警。依据《盐城师范学院全日制本科生学籍管理细则》与教务处下发的学业情况，</w:t>
      </w:r>
      <w:r>
        <w:rPr>
          <w:rFonts w:hint="eastAsia" w:ascii="Times New Roman" w:hAnsi="Times New Roman" w:cs="Times New Roman"/>
          <w:color w:val="C00000"/>
          <w:sz w:val="24"/>
          <w:szCs w:val="24"/>
          <w:lang w:val="en-US" w:eastAsia="zh-CN"/>
        </w:rPr>
        <w:t>学院</w:t>
      </w:r>
      <w:r>
        <w:rPr>
          <w:rFonts w:ascii="Times New Roman" w:hAnsi="Times New Roman" w:cs="Times New Roman"/>
          <w:sz w:val="24"/>
          <w:szCs w:val="24"/>
        </w:rPr>
        <w:t>学工办专人对学生学业情况进行整理并公布至各班级复核确认，确定进入学业预警范围的学生名单。</w:t>
      </w:r>
    </w:p>
    <w:p w14:paraId="38EAFDB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第2-3周，警示谈话。</w:t>
      </w:r>
      <w:r>
        <w:rPr>
          <w:rFonts w:hint="eastAsia" w:ascii="Times New Roman" w:hAnsi="Times New Roman" w:cs="Times New Roman"/>
          <w:color w:val="C00000"/>
          <w:sz w:val="24"/>
          <w:szCs w:val="24"/>
          <w:lang w:val="en-US" w:eastAsia="zh-CN"/>
        </w:rPr>
        <w:t>学院</w:t>
      </w:r>
      <w:r>
        <w:rPr>
          <w:rFonts w:ascii="Times New Roman" w:hAnsi="Times New Roman" w:cs="Times New Roman"/>
          <w:sz w:val="24"/>
          <w:szCs w:val="24"/>
        </w:rPr>
        <w:t>学工办公布学业预警名单，对于学业预警的学生，</w:t>
      </w:r>
      <w:r>
        <w:rPr>
          <w:rFonts w:hint="eastAsia" w:ascii="Times New Roman" w:hAnsi="Times New Roman" w:cs="Times New Roman"/>
          <w:b w:val="0"/>
          <w:bCs w:val="0"/>
          <w:color w:val="C00000"/>
          <w:sz w:val="24"/>
          <w:szCs w:val="24"/>
          <w:lang w:val="en-US" w:eastAsia="zh-CN"/>
        </w:rPr>
        <w:t>辅导员</w:t>
      </w:r>
      <w:r>
        <w:rPr>
          <w:rFonts w:hint="eastAsia" w:ascii="Times New Roman" w:hAnsi="Times New Roman" w:cs="Times New Roman"/>
          <w:color w:val="C00000"/>
          <w:sz w:val="24"/>
          <w:szCs w:val="24"/>
          <w:lang w:val="en-US" w:eastAsia="zh-CN"/>
        </w:rPr>
        <w:t>（</w:t>
      </w:r>
      <w:r>
        <w:rPr>
          <w:rFonts w:ascii="Times New Roman" w:hAnsi="Times New Roman" w:cs="Times New Roman"/>
          <w:color w:val="C00000"/>
          <w:sz w:val="24"/>
          <w:szCs w:val="24"/>
        </w:rPr>
        <w:t>班主任</w:t>
      </w:r>
      <w:r>
        <w:rPr>
          <w:rFonts w:hint="eastAsia" w:ascii="Times New Roman" w:hAnsi="Times New Roman" w:cs="Times New Roman"/>
          <w:color w:val="C00000"/>
          <w:sz w:val="24"/>
          <w:szCs w:val="24"/>
          <w:lang w:val="en-US" w:eastAsia="zh-CN"/>
        </w:rPr>
        <w:t>）</w:t>
      </w:r>
      <w:r>
        <w:rPr>
          <w:rFonts w:ascii="Times New Roman" w:hAnsi="Times New Roman" w:cs="Times New Roman"/>
          <w:sz w:val="24"/>
          <w:szCs w:val="24"/>
        </w:rPr>
        <w:t>要与被预警学生进行警示谈话，沟通分析学生学习存在的问题与原因，协助其制定学习计划并参加学业对点帮扶，并填写《学生谈话记录》(附件1)，同时发放《盐城师范学院学业预警通知书》(致学生)(附件2)。</w:t>
      </w:r>
    </w:p>
    <w:p w14:paraId="2A15280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第3-4周，家校联动。对于橙色预警、红色预警学生采取家校联动，除警示谈话和联系家长外，还应向学生与家长寄发《盐城师范学院学业预警通知书》。在条件允许的情况下邀请家长来校就预警学生的学业情况进行面谈。若来校不便，则家长至少保证每学期三次以上主动与</w:t>
      </w:r>
      <w:r>
        <w:rPr>
          <w:rFonts w:hint="eastAsia" w:ascii="Times New Roman" w:hAnsi="Times New Roman" w:cs="Times New Roman"/>
          <w:color w:val="C00000"/>
          <w:sz w:val="24"/>
          <w:szCs w:val="24"/>
          <w:lang w:val="en-US" w:eastAsia="zh-CN"/>
        </w:rPr>
        <w:t>辅导员（班主任）</w:t>
      </w:r>
      <w:r>
        <w:rPr>
          <w:rFonts w:ascii="Times New Roman" w:hAnsi="Times New Roman" w:cs="Times New Roman"/>
          <w:sz w:val="24"/>
          <w:szCs w:val="24"/>
        </w:rPr>
        <w:t>以电话等形式联系，交流学生近况。</w:t>
      </w:r>
    </w:p>
    <w:p w14:paraId="08ACA13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注：红色预警由学工办统一处理；橙色预警由班主任负责，报学工办备案。</w:t>
      </w:r>
    </w:p>
    <w:p w14:paraId="61B2195E">
      <w:pPr>
        <w:spacing w:before="156" w:beforeLines="50" w:after="156" w:after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第四条</w:t>
      </w:r>
      <w:r>
        <w:rPr>
          <w:rFonts w:ascii="Times New Roman" w:hAnsi="Times New Roman" w:cs="Times New Roman"/>
          <w:sz w:val="24"/>
          <w:szCs w:val="24"/>
        </w:rPr>
        <w:t xml:space="preserve"> 学业帮扶机制</w:t>
      </w:r>
    </w:p>
    <w:p w14:paraId="0884093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(一) 学业帮扶机制是指学院采取针对性措施对被预警学生的学业情况进行全面分析、指导以及帮扶的制度，重点加强对专业培养目标、毕业要求及课程体系与毕业要求达成关系的讲解与引导。</w:t>
      </w:r>
    </w:p>
    <w:p w14:paraId="4C61285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(二) 学院成立由分管教学工作的副院长任组长、分管学生工作的副书记任副组长，班主任、专业课教师、辅导员等为组员的学业帮扶工作小组，全面负责对本学院预警学生进行学业帮扶；同时吸纳院学生会学习部、学业帮扶骨干团（由优秀学生干部、党员及学业优异学生组成）参与具体帮扶活动，定期组织专业认知讲座，系统传递学业核心要求。</w:t>
      </w:r>
    </w:p>
    <w:p w14:paraId="46556A65">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(三) 学院开展以“两专两结对”为主要形式的学业兜底工程，组织“学业帮扶骨干团-学生、教师-学生”结对，安排“专时间专教室”，为每位学生量身定制“帮扶套餐”。学业帮扶工作小组各成员应分工明确、密切配合，结合专业人才培养方案，帮助学生建立“课程-能力-毕业”的逻辑关联，共同制定针对性学业提升计划。</w:t>
      </w:r>
    </w:p>
    <w:p w14:paraId="55DF87E5">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(四) 被预警学生的</w:t>
      </w:r>
      <w:r>
        <w:rPr>
          <w:rFonts w:hint="eastAsia" w:ascii="Times New Roman" w:hAnsi="Times New Roman" w:cs="Times New Roman"/>
          <w:sz w:val="24"/>
          <w:szCs w:val="24"/>
          <w:lang w:val="en-US" w:eastAsia="zh-CN"/>
        </w:rPr>
        <w:t>辅导员（</w:t>
      </w:r>
      <w:r>
        <w:rPr>
          <w:rFonts w:ascii="Times New Roman" w:hAnsi="Times New Roman" w:cs="Times New Roman"/>
          <w:sz w:val="24"/>
          <w:szCs w:val="24"/>
        </w:rPr>
        <w:t>班主任</w:t>
      </w:r>
      <w:r>
        <w:rPr>
          <w:rFonts w:hint="eastAsia" w:ascii="Times New Roman" w:hAnsi="Times New Roman" w:cs="Times New Roman"/>
          <w:sz w:val="24"/>
          <w:szCs w:val="24"/>
          <w:lang w:val="en-US" w:eastAsia="zh-CN"/>
        </w:rPr>
        <w:t>）</w:t>
      </w:r>
      <w:r>
        <w:rPr>
          <w:rFonts w:ascii="Times New Roman" w:hAnsi="Times New Roman" w:cs="Times New Roman"/>
          <w:sz w:val="24"/>
          <w:szCs w:val="24"/>
        </w:rPr>
        <w:t>须采取多种形式与学生保持沟通和交流，每个月与学生进行面对面的交流不得少于2次，及时掌握学生学习、生活及心理活动，完善谈心谈话记录。在交流中需结合学生学业短板，针对性讲解对应课程与毕业要求的关联，让学生理解学习的必要性与目标性。</w:t>
      </w:r>
    </w:p>
    <w:p w14:paraId="7B6D48E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(五) 学院须为每位被预警学生建立学业帮扶档案，详细记录帮扶全过程，包括约谈时间、地点、内容，学业指导情况及帮扶效果等，重点收录《学业预警通知单》、每次约谈的《学业预警家长谈话记录表》、学生成绩单等资料，特别记录学生对“课程-毕业要求”关联的认知提升情况，作为帮扶策略调整的核心依据。</w:t>
      </w:r>
    </w:p>
    <w:p w14:paraId="2A9301F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(六) 学院须及时总结学业帮扶经验，不断改进工作方式、方法，形成学期学业帮扶总结报告并报教务处备案，重点提炼在专业培养目标具象化引导等方面的有效做法，形成可复制的帮扶模式。</w:t>
      </w:r>
    </w:p>
    <w:p w14:paraId="64C01DC0">
      <w:pPr>
        <w:spacing w:before="156" w:beforeLines="50" w:after="156" w:after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第五条</w:t>
      </w:r>
      <w:r>
        <w:rPr>
          <w:rFonts w:ascii="Times New Roman" w:hAnsi="Times New Roman" w:cs="Times New Roman"/>
          <w:sz w:val="24"/>
          <w:szCs w:val="24"/>
        </w:rPr>
        <w:t xml:space="preserve"> 学业帮扶计划</w:t>
      </w:r>
    </w:p>
    <w:p w14:paraId="39423C98">
      <w:pPr>
        <w:spacing w:line="360" w:lineRule="auto"/>
        <w:ind w:firstLine="482" w:firstLineChars="200"/>
        <w:rPr>
          <w:rFonts w:hint="default" w:ascii="Times New Roman" w:hAnsi="Times New Roman" w:cs="Times New Roman" w:eastAsiaTheme="minorEastAsia"/>
          <w:b/>
          <w:color w:val="C00000"/>
          <w:sz w:val="24"/>
          <w:szCs w:val="24"/>
          <w:lang w:val="en-US" w:eastAsia="zh-CN"/>
        </w:rPr>
      </w:pPr>
      <w:r>
        <w:rPr>
          <w:rFonts w:ascii="Times New Roman" w:hAnsi="Times New Roman" w:cs="Times New Roman"/>
          <w:b/>
          <w:color w:val="C00000"/>
          <w:sz w:val="24"/>
          <w:szCs w:val="24"/>
        </w:rPr>
        <w:t xml:space="preserve">1. </w:t>
      </w:r>
      <w:r>
        <w:rPr>
          <w:rFonts w:hint="eastAsia" w:ascii="Times New Roman" w:hAnsi="Times New Roman" w:cs="Times New Roman"/>
          <w:b/>
          <w:color w:val="C00000"/>
          <w:sz w:val="24"/>
          <w:szCs w:val="24"/>
          <w:lang w:val="en-US" w:eastAsia="zh-CN"/>
        </w:rPr>
        <w:t>帮扶周期与团队组成</w:t>
      </w:r>
    </w:p>
    <w:p w14:paraId="3D1B77FF">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C00000"/>
          <w:sz w:val="24"/>
          <w:szCs w:val="24"/>
          <w:lang w:val="en-US" w:eastAsia="zh-CN"/>
        </w:rPr>
        <w:t>一个学期为一个帮扶周期，帮扶团队</w:t>
      </w:r>
      <w:r>
        <w:rPr>
          <w:rFonts w:hint="eastAsia" w:ascii="Times New Roman" w:hAnsi="Times New Roman" w:cs="Times New Roman"/>
          <w:sz w:val="24"/>
          <w:szCs w:val="24"/>
          <w:lang w:val="en-US" w:eastAsia="zh-CN"/>
        </w:rPr>
        <w:t>由</w:t>
      </w:r>
      <w:r>
        <w:rPr>
          <w:rFonts w:ascii="Times New Roman" w:hAnsi="Times New Roman" w:cs="Times New Roman"/>
          <w:sz w:val="24"/>
          <w:szCs w:val="24"/>
        </w:rPr>
        <w:t>被帮扶学生、专业教师、学生党员、学业优异学生</w:t>
      </w:r>
      <w:r>
        <w:rPr>
          <w:rFonts w:hint="eastAsia" w:ascii="Times New Roman" w:hAnsi="Times New Roman" w:cs="Times New Roman"/>
          <w:sz w:val="24"/>
          <w:szCs w:val="24"/>
          <w:lang w:val="en-US" w:eastAsia="zh-CN"/>
        </w:rPr>
        <w:t>组成</w:t>
      </w:r>
      <w:r>
        <w:rPr>
          <w:rFonts w:ascii="Times New Roman" w:hAnsi="Times New Roman" w:cs="Times New Roman"/>
          <w:sz w:val="24"/>
          <w:szCs w:val="24"/>
        </w:rPr>
        <w:t>。</w:t>
      </w:r>
    </w:p>
    <w:p w14:paraId="61D7573D">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2. 组织形式</w:t>
      </w:r>
    </w:p>
    <w:p w14:paraId="1D3AA4B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学院组织学业预警</w:t>
      </w:r>
      <w:r>
        <w:rPr>
          <w:rFonts w:hint="eastAsia" w:ascii="Times New Roman" w:hAnsi="Times New Roman" w:cs="Times New Roman"/>
          <w:color w:val="C00000"/>
          <w:sz w:val="24"/>
          <w:szCs w:val="24"/>
          <w:lang w:val="en-US" w:eastAsia="zh-CN"/>
        </w:rPr>
        <w:t>生集中上</w:t>
      </w:r>
      <w:r>
        <w:rPr>
          <w:rFonts w:ascii="Times New Roman" w:hAnsi="Times New Roman" w:cs="Times New Roman"/>
          <w:sz w:val="24"/>
          <w:szCs w:val="24"/>
        </w:rPr>
        <w:t>晚自习，为帮扶对子提供固定的学习时间和场所，晚自习期间安排学业帮扶骨干团成员与专业课教师轮流</w:t>
      </w:r>
      <w:r>
        <w:rPr>
          <w:rFonts w:hint="eastAsia" w:ascii="Times New Roman" w:hAnsi="Times New Roman" w:cs="Times New Roman"/>
          <w:color w:val="C00000"/>
          <w:sz w:val="24"/>
          <w:szCs w:val="24"/>
          <w:lang w:val="en-US" w:eastAsia="zh-CN"/>
        </w:rPr>
        <w:t>值班</w:t>
      </w:r>
      <w:r>
        <w:rPr>
          <w:rFonts w:ascii="Times New Roman" w:hAnsi="Times New Roman" w:cs="Times New Roman"/>
          <w:sz w:val="24"/>
          <w:szCs w:val="24"/>
        </w:rPr>
        <w:t>，针对毕业要求相关的课程难点开展专项辅导；同时鼓励帮扶对子在课外时间自行结伴学习，巩固帮扶效果。</w:t>
      </w:r>
    </w:p>
    <w:p w14:paraId="6DCCD27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3. 结对原则</w:t>
      </w:r>
    </w:p>
    <w:p w14:paraId="65B434D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遵循双方自愿、互相促进、共同进步的原则，优先安排本专业</w:t>
      </w:r>
      <w:r>
        <w:rPr>
          <w:rFonts w:hint="eastAsia" w:ascii="Times New Roman" w:hAnsi="Times New Roman" w:cs="Times New Roman"/>
          <w:color w:val="C00000"/>
          <w:sz w:val="24"/>
          <w:szCs w:val="24"/>
          <w:lang w:val="en-US" w:eastAsia="zh-CN"/>
        </w:rPr>
        <w:t>学生</w:t>
      </w:r>
      <w:r>
        <w:rPr>
          <w:rFonts w:ascii="Times New Roman" w:hAnsi="Times New Roman" w:cs="Times New Roman"/>
          <w:sz w:val="24"/>
          <w:szCs w:val="24"/>
        </w:rPr>
        <w:t>相互帮扶；如未找到合适帮扶对象，由</w:t>
      </w:r>
      <w:r>
        <w:rPr>
          <w:rFonts w:hint="eastAsia" w:ascii="Times New Roman" w:hAnsi="Times New Roman" w:cs="Times New Roman"/>
          <w:sz w:val="24"/>
          <w:szCs w:val="24"/>
          <w:lang w:val="en-US" w:eastAsia="zh-CN"/>
        </w:rPr>
        <w:t>学院</w:t>
      </w:r>
      <w:r>
        <w:rPr>
          <w:rFonts w:ascii="Times New Roman" w:hAnsi="Times New Roman" w:cs="Times New Roman"/>
          <w:sz w:val="24"/>
          <w:szCs w:val="24"/>
        </w:rPr>
        <w:t>学工办统一协调安排。</w:t>
      </w:r>
    </w:p>
    <w:p w14:paraId="4D5B184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说明：由于各专业学习情况不同，酌情允许一个帮扶者</w:t>
      </w:r>
      <w:r>
        <w:rPr>
          <w:rFonts w:hint="eastAsia" w:ascii="Times New Roman" w:hAnsi="Times New Roman" w:cs="Times New Roman"/>
          <w:sz w:val="24"/>
          <w:szCs w:val="24"/>
          <w:lang w:val="en-US" w:eastAsia="zh-CN"/>
        </w:rPr>
        <w:t>帮扶</w:t>
      </w:r>
      <w:r>
        <w:rPr>
          <w:rFonts w:ascii="Times New Roman" w:hAnsi="Times New Roman" w:cs="Times New Roman"/>
          <w:sz w:val="24"/>
          <w:szCs w:val="24"/>
        </w:rPr>
        <w:t>1-3个</w:t>
      </w:r>
      <w:r>
        <w:rPr>
          <w:rFonts w:hint="eastAsia" w:ascii="Times New Roman" w:hAnsi="Times New Roman" w:cs="Times New Roman"/>
          <w:sz w:val="24"/>
          <w:szCs w:val="24"/>
          <w:lang w:val="en-US" w:eastAsia="zh-CN"/>
        </w:rPr>
        <w:t>预警学生</w:t>
      </w:r>
      <w:r>
        <w:rPr>
          <w:rFonts w:ascii="Times New Roman" w:hAnsi="Times New Roman" w:cs="Times New Roman"/>
          <w:sz w:val="24"/>
          <w:szCs w:val="24"/>
        </w:rPr>
        <w:t>，相关情况需向学工办提交书面申请备案。</w:t>
      </w:r>
    </w:p>
    <w:p w14:paraId="3AC05522">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4. 学习要求</w:t>
      </w:r>
    </w:p>
    <w:p w14:paraId="7F8EC94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被帮扶学生须在指定教室参与集中晚自习，接受日常学业帮扶；</w:t>
      </w:r>
    </w:p>
    <w:p w14:paraId="23CD618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课外时间，帮扶者与被帮扶学生可自行结伴自习，深化学习效果；</w:t>
      </w:r>
    </w:p>
    <w:p w14:paraId="1923F1EE">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帮扶过程中应结合具体课程知识点，通过实例讲解其对专业核心能力的支撑作用。</w:t>
      </w:r>
    </w:p>
    <w:p w14:paraId="13050889">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5. 工作要求</w:t>
      </w:r>
    </w:p>
    <w:p w14:paraId="432537C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帮扶双方应如实做好每周帮扶记录及月度总结；帮扶者若发现被帮扶学生出现明显厌学情绪，须及时向班主任、辅导员反映沟通。</w:t>
      </w:r>
    </w:p>
    <w:p w14:paraId="05D9962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帮扶者应提醒被帮扶学生按时完成各科作业，对长期不完成作业的情况，需及时督促并向辅导员</w:t>
      </w:r>
      <w:r>
        <w:rPr>
          <w:rFonts w:hint="eastAsia" w:ascii="Times New Roman" w:hAnsi="Times New Roman" w:cs="Times New Roman"/>
          <w:sz w:val="24"/>
          <w:szCs w:val="24"/>
          <w:lang w:eastAsia="zh-CN"/>
        </w:rPr>
        <w:t>、</w:t>
      </w:r>
      <w:r>
        <w:rPr>
          <w:rFonts w:ascii="Times New Roman" w:hAnsi="Times New Roman" w:cs="Times New Roman"/>
          <w:sz w:val="24"/>
          <w:szCs w:val="24"/>
        </w:rPr>
        <w:t>班主任反馈。</w:t>
      </w:r>
    </w:p>
    <w:p w14:paraId="0761126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期末考试月，帮扶者应督促被帮扶学生主动自习，可在不增加自身考试压力的前提下，适当延长共同自习时间。</w:t>
      </w:r>
    </w:p>
    <w:p w14:paraId="320AFB64">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 帮扶者须认真制定学业帮扶计划，</w:t>
      </w:r>
      <w:r>
        <w:rPr>
          <w:rFonts w:hint="eastAsia" w:ascii="Times New Roman" w:hAnsi="Times New Roman" w:cs="Times New Roman"/>
          <w:color w:val="C00000"/>
          <w:sz w:val="24"/>
          <w:szCs w:val="24"/>
          <w:lang w:val="en-US" w:eastAsia="zh-CN"/>
        </w:rPr>
        <w:t>帮扶过程</w:t>
      </w:r>
      <w:r>
        <w:rPr>
          <w:rFonts w:ascii="Times New Roman" w:hAnsi="Times New Roman" w:cs="Times New Roman"/>
          <w:sz w:val="24"/>
          <w:szCs w:val="24"/>
        </w:rPr>
        <w:t>记录清晰</w:t>
      </w:r>
      <w:r>
        <w:rPr>
          <w:rFonts w:hint="eastAsia" w:ascii="Times New Roman" w:hAnsi="Times New Roman" w:cs="Times New Roman"/>
          <w:sz w:val="24"/>
          <w:szCs w:val="24"/>
          <w:lang w:eastAsia="zh-CN"/>
        </w:rPr>
        <w:t>、</w:t>
      </w:r>
      <w:r>
        <w:rPr>
          <w:rFonts w:ascii="Times New Roman" w:hAnsi="Times New Roman" w:cs="Times New Roman"/>
          <w:sz w:val="24"/>
          <w:szCs w:val="24"/>
        </w:rPr>
        <w:t>完整。</w:t>
      </w:r>
    </w:p>
    <w:p w14:paraId="6A5AF13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6. 成效评估</w:t>
      </w:r>
    </w:p>
    <w:p w14:paraId="3DE576B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C00000"/>
          <w:sz w:val="24"/>
          <w:szCs w:val="24"/>
          <w:lang w:val="en-US" w:eastAsia="zh-CN"/>
        </w:rPr>
        <w:t>帮扶周期结束后，</w:t>
      </w:r>
      <w:r>
        <w:rPr>
          <w:rFonts w:ascii="Times New Roman" w:hAnsi="Times New Roman" w:cs="Times New Roman"/>
          <w:sz w:val="24"/>
          <w:szCs w:val="24"/>
        </w:rPr>
        <w:t>学院对学业帮扶成效进行全面分析总结，对参与帮扶的学生干部、学业优异学生进行综合考核，考核内容包括帮扶记录完整性、被帮扶学生学业进步情况及对毕业要求的认知提升程度</w:t>
      </w:r>
      <w:r>
        <w:rPr>
          <w:rFonts w:hint="eastAsia" w:ascii="Times New Roman" w:hAnsi="Times New Roman" w:cs="Times New Roman"/>
          <w:sz w:val="24"/>
          <w:szCs w:val="24"/>
          <w:lang w:eastAsia="zh-CN"/>
        </w:rPr>
        <w:t>。</w:t>
      </w:r>
      <w:r>
        <w:rPr>
          <w:rFonts w:ascii="Times New Roman" w:hAnsi="Times New Roman" w:cs="Times New Roman"/>
          <w:sz w:val="24"/>
          <w:szCs w:val="24"/>
        </w:rPr>
        <w:t>对表现突出者给予志愿时长认定、综合素质测评加分。</w:t>
      </w:r>
    </w:p>
    <w:p w14:paraId="270753B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被帮扶学生若认可帮扶方案但消极应付、拒不配合的，学院可依据学校学业预警相关规定进行处理。</w:t>
      </w:r>
    </w:p>
    <w:p w14:paraId="5F239781">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7. 加分政策</w:t>
      </w:r>
    </w:p>
    <w:p w14:paraId="73780BA6">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对于</w:t>
      </w:r>
      <w:r>
        <w:rPr>
          <w:rFonts w:hint="eastAsia" w:ascii="Times New Roman" w:hAnsi="Times New Roman" w:cs="Times New Roman"/>
          <w:color w:val="C00000"/>
          <w:sz w:val="24"/>
          <w:szCs w:val="24"/>
          <w:lang w:val="en-US" w:eastAsia="zh-CN"/>
        </w:rPr>
        <w:t>帮扶成效</w:t>
      </w:r>
      <w:r>
        <w:rPr>
          <w:rFonts w:ascii="Times New Roman" w:hAnsi="Times New Roman" w:cs="Times New Roman"/>
          <w:color w:val="C00000"/>
          <w:sz w:val="24"/>
          <w:szCs w:val="24"/>
        </w:rPr>
        <w:t>考核结</w:t>
      </w:r>
      <w:r>
        <w:rPr>
          <w:rFonts w:ascii="Times New Roman" w:hAnsi="Times New Roman" w:cs="Times New Roman"/>
          <w:sz w:val="24"/>
          <w:szCs w:val="24"/>
        </w:rPr>
        <w:t>果为良好及以上的帮扶者，给予个人综合素质测评基础分加分2*n分（n为被帮扶者数量，n≤3），被帮扶者无基础分。学期末，帮扶者与被帮扶者均可根据帮扶</w:t>
      </w:r>
      <w:r>
        <w:rPr>
          <w:rFonts w:hint="eastAsia" w:ascii="Times New Roman" w:hAnsi="Times New Roman" w:cs="Times New Roman"/>
          <w:color w:val="C00000"/>
          <w:sz w:val="24"/>
          <w:szCs w:val="24"/>
          <w:lang w:val="en-US" w:eastAsia="zh-CN"/>
        </w:rPr>
        <w:t>成效</w:t>
      </w:r>
      <w:r>
        <w:rPr>
          <w:rFonts w:ascii="Times New Roman" w:hAnsi="Times New Roman" w:cs="Times New Roman"/>
          <w:sz w:val="24"/>
          <w:szCs w:val="24"/>
        </w:rPr>
        <w:t>获得额外加分：</w:t>
      </w:r>
    </w:p>
    <w:p w14:paraId="5F63CCB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被帮扶者本学期学业预警等级降低（原红色预警降为橙色预警、原橙色预警降为黄色预警或黄色预警学生学业不再预警），帮扶者考核为及格等级，另加2*p分（p为达到要求的被帮扶者数量）；</w:t>
      </w:r>
    </w:p>
    <w:p w14:paraId="12B0D05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被帮扶者本学期所有课程均及格，帮扶者考核为良好等级，另加4*p分；</w:t>
      </w:r>
    </w:p>
    <w:p w14:paraId="24363164">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被帮扶者本学期所有课程均及格，且学业排名进步10%及以上，帮扶者考核为优秀等级，另加6*p分；</w:t>
      </w:r>
    </w:p>
    <w:p w14:paraId="4E11863F">
      <w:pPr>
        <w:spacing w:line="360" w:lineRule="auto"/>
        <w:rPr>
          <w:rFonts w:ascii="Times New Roman" w:hAnsi="Times New Roman" w:cs="Times New Roman"/>
          <w:sz w:val="24"/>
          <w:szCs w:val="24"/>
        </w:rPr>
      </w:pPr>
      <w:r>
        <w:rPr>
          <w:rFonts w:ascii="Times New Roman" w:hAnsi="Times New Roman" w:cs="Times New Roman"/>
          <w:sz w:val="24"/>
          <w:szCs w:val="24"/>
        </w:rPr>
        <w:t>说明：</w:t>
      </w:r>
    </w:p>
    <w:p w14:paraId="1157EC37">
      <w:pPr>
        <w:spacing w:line="360" w:lineRule="auto"/>
        <w:ind w:firstLine="480" w:firstLineChars="200"/>
        <w:rPr>
          <w:rFonts w:ascii="Times New Roman" w:hAnsi="Times New Roman" w:cs="Times New Roman"/>
          <w:sz w:val="24"/>
          <w:szCs w:val="24"/>
        </w:rPr>
      </w:pPr>
      <w:r>
        <w:rPr>
          <w:rFonts w:hint="eastAsia" w:ascii="宋体" w:hAnsi="宋体" w:eastAsia="宋体" w:cs="宋体"/>
          <w:sz w:val="24"/>
          <w:szCs w:val="24"/>
        </w:rPr>
        <w:t>①</w:t>
      </w:r>
      <w:r>
        <w:rPr>
          <w:rFonts w:ascii="Times New Roman" w:hAnsi="Times New Roman" w:cs="Times New Roman"/>
          <w:sz w:val="24"/>
          <w:szCs w:val="24"/>
        </w:rPr>
        <w:t xml:space="preserve"> 基础加分、科目及格加分及进步名次加分采用累加制；</w:t>
      </w:r>
    </w:p>
    <w:p w14:paraId="750DBED6">
      <w:pPr>
        <w:spacing w:line="360" w:lineRule="auto"/>
        <w:ind w:firstLine="480" w:firstLineChars="200"/>
        <w:rPr>
          <w:rFonts w:ascii="Times New Roman" w:hAnsi="Times New Roman" w:cs="Times New Roman"/>
          <w:sz w:val="24"/>
          <w:szCs w:val="24"/>
        </w:rPr>
      </w:pPr>
      <w:r>
        <w:rPr>
          <w:rFonts w:hint="eastAsia" w:ascii="宋体" w:hAnsi="宋体" w:eastAsia="宋体" w:cs="宋体"/>
          <w:sz w:val="24"/>
          <w:szCs w:val="24"/>
        </w:rPr>
        <w:t>②</w:t>
      </w:r>
      <w:r>
        <w:rPr>
          <w:rFonts w:ascii="Times New Roman" w:hAnsi="Times New Roman" w:cs="Times New Roman"/>
          <w:sz w:val="24"/>
          <w:szCs w:val="24"/>
        </w:rPr>
        <w:t xml:space="preserve"> 若帮扶者对应多位被帮扶者，进步加分按被帮扶者平均进步百分比计算。</w:t>
      </w:r>
    </w:p>
    <w:p w14:paraId="2B5F152C">
      <w:pPr>
        <w:spacing w:before="156" w:beforeLines="50" w:after="156" w:afterLines="50" w:line="360" w:lineRule="auto"/>
        <w:ind w:firstLine="482" w:firstLineChars="200"/>
        <w:rPr>
          <w:rFonts w:ascii="Times New Roman" w:hAnsi="Times New Roman" w:cs="Times New Roman"/>
          <w:sz w:val="24"/>
          <w:szCs w:val="24"/>
        </w:rPr>
      </w:pPr>
      <w:r>
        <w:rPr>
          <w:rFonts w:ascii="Times New Roman" w:hAnsi="Times New Roman" w:cs="Times New Roman"/>
          <w:b/>
          <w:sz w:val="24"/>
          <w:szCs w:val="24"/>
        </w:rPr>
        <w:t>第六条</w:t>
      </w:r>
      <w:r>
        <w:rPr>
          <w:rFonts w:ascii="Times New Roman" w:hAnsi="Times New Roman" w:cs="Times New Roman"/>
          <w:sz w:val="24"/>
          <w:szCs w:val="24"/>
        </w:rPr>
        <w:t xml:space="preserve"> 本办法自公布之日起实行，由人工智能学院负责解释。</w:t>
      </w:r>
    </w:p>
    <w:p w14:paraId="79BC1585">
      <w:pPr>
        <w:spacing w:line="360" w:lineRule="auto"/>
        <w:rPr>
          <w:rFonts w:ascii="Times New Roman" w:hAnsi="Times New Roman" w:cs="Times New Roman"/>
          <w:sz w:val="24"/>
          <w:szCs w:val="24"/>
        </w:rPr>
      </w:pPr>
      <w:r>
        <w:rPr>
          <w:rFonts w:ascii="Times New Roman" w:hAnsi="Times New Roman" w:cs="Times New Roman"/>
          <w:sz w:val="24"/>
          <w:szCs w:val="24"/>
        </w:rPr>
        <w:t>附件：</w:t>
      </w:r>
    </w:p>
    <w:p w14:paraId="3F927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人工智能学院</w:t>
      </w:r>
      <w:r>
        <w:rPr>
          <w:rFonts w:hint="eastAsia" w:ascii="Times New Roman" w:hAnsi="Times New Roman" w:cs="Times New Roman"/>
          <w:sz w:val="24"/>
          <w:szCs w:val="24"/>
        </w:rPr>
        <w:t>学业预警学生谈话记录表</w:t>
      </w:r>
    </w:p>
    <w:p w14:paraId="70B8FF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仿宋_GB2312" w:eastAsia="仿宋_GB2312"/>
          <w:sz w:val="24"/>
          <w:szCs w:val="24"/>
          <w:lang w:val="en-US" w:eastAsia="zh-CN"/>
        </w:rPr>
        <w:drawing>
          <wp:anchor distT="0" distB="0" distL="114300" distR="114300" simplePos="0" relativeHeight="251660288" behindDoc="1" locked="0" layoutInCell="1" allowOverlap="1">
            <wp:simplePos x="0" y="0"/>
            <wp:positionH relativeFrom="column">
              <wp:posOffset>3020695</wp:posOffset>
            </wp:positionH>
            <wp:positionV relativeFrom="paragraph">
              <wp:posOffset>233680</wp:posOffset>
            </wp:positionV>
            <wp:extent cx="2415540" cy="1931035"/>
            <wp:effectExtent l="0" t="0" r="10160" b="12065"/>
            <wp:wrapNone/>
            <wp:docPr id="4" name="图片 4" descr="b0cc25184ffa0be75ef26ede422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0cc25184ffa0be75ef26ede4223018"/>
                    <pic:cNvPicPr>
                      <a:picLocks noChangeAspect="1"/>
                    </pic:cNvPicPr>
                  </pic:nvPicPr>
                  <pic:blipFill>
                    <a:blip r:embed="rId6"/>
                    <a:stretch>
                      <a:fillRect/>
                    </a:stretch>
                  </pic:blipFill>
                  <pic:spPr>
                    <a:xfrm>
                      <a:off x="0" y="0"/>
                      <a:ext cx="2415540" cy="1931035"/>
                    </a:xfrm>
                    <a:prstGeom prst="rect">
                      <a:avLst/>
                    </a:prstGeom>
                  </pic:spPr>
                </pic:pic>
              </a:graphicData>
            </a:graphic>
          </wp:anchor>
        </w:drawing>
      </w:r>
      <w:r>
        <w:rPr>
          <w:rFonts w:ascii="Times New Roman" w:hAnsi="Times New Roman" w:cs="Times New Roman"/>
          <w:sz w:val="24"/>
          <w:szCs w:val="24"/>
        </w:rPr>
        <w:t>2. 盐城师范学院学业预警通知书</w:t>
      </w:r>
    </w:p>
    <w:p w14:paraId="043878C4">
      <w:pPr>
        <w:spacing w:line="360" w:lineRule="auto"/>
        <w:rPr>
          <w:rFonts w:ascii="Times New Roman" w:hAnsi="Times New Roman" w:cs="Times New Roman"/>
          <w:sz w:val="24"/>
          <w:szCs w:val="24"/>
        </w:rPr>
      </w:pPr>
    </w:p>
    <w:p w14:paraId="057DAF2E">
      <w:pPr>
        <w:spacing w:line="360" w:lineRule="auto"/>
        <w:rPr>
          <w:rFonts w:ascii="Times New Roman" w:hAnsi="Times New Roman" w:cs="Times New Roman"/>
          <w:sz w:val="24"/>
          <w:szCs w:val="24"/>
        </w:rPr>
      </w:pPr>
    </w:p>
    <w:p w14:paraId="19E19710">
      <w:pPr>
        <w:wordWrap w:val="0"/>
        <w:spacing w:line="360" w:lineRule="auto"/>
        <w:ind w:right="240"/>
        <w:jc w:val="righ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人工智能学院</w:t>
      </w:r>
      <w:r>
        <w:rPr>
          <w:rFonts w:hint="eastAsia" w:ascii="Times New Roman" w:hAnsi="Times New Roman" w:cs="Times New Roman"/>
          <w:sz w:val="24"/>
          <w:szCs w:val="24"/>
          <w:lang w:val="en-US" w:eastAsia="zh-CN"/>
        </w:rPr>
        <w:t xml:space="preserve">  软件学院</w:t>
      </w:r>
    </w:p>
    <w:p w14:paraId="02D4D6EF">
      <w:pPr>
        <w:wordWrap w:val="0"/>
        <w:spacing w:line="360" w:lineRule="auto"/>
        <w:ind w:right="240"/>
        <w:jc w:val="right"/>
        <w:rPr>
          <w:rFonts w:ascii="Times New Roman" w:hAnsi="Times New Roman" w:cs="Times New Roman"/>
          <w:sz w:val="24"/>
          <w:szCs w:val="24"/>
        </w:rPr>
      </w:pPr>
      <w:r>
        <w:rPr>
          <w:rFonts w:ascii="Times New Roman" w:hAnsi="Times New Roman" w:cs="Times New Roman"/>
          <w:sz w:val="24"/>
          <w:szCs w:val="24"/>
        </w:rPr>
        <w:t>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w:t>
      </w:r>
      <w:r>
        <w:rPr>
          <w:rFonts w:hint="eastAsia" w:ascii="Times New Roman" w:hAnsi="Times New Roman" w:cs="Times New Roman"/>
          <w:sz w:val="24"/>
          <w:szCs w:val="24"/>
        </w:rPr>
        <w:t>0</w:t>
      </w:r>
      <w:r>
        <w:rPr>
          <w:rFonts w:hint="eastAsia" w:ascii="Times New Roman" w:hAnsi="Times New Roman" w:cs="Times New Roman"/>
          <w:sz w:val="24"/>
          <w:szCs w:val="24"/>
          <w:lang w:val="en-US" w:eastAsia="zh-CN"/>
        </w:rPr>
        <w:t>1</w:t>
      </w:r>
      <w:r>
        <w:rPr>
          <w:rFonts w:ascii="Times New Roman" w:hAnsi="Times New Roman" w:cs="Times New Roman"/>
          <w:sz w:val="24"/>
          <w:szCs w:val="24"/>
        </w:rPr>
        <w:t>月1</w:t>
      </w:r>
      <w:r>
        <w:rPr>
          <w:rFonts w:hint="eastAsia" w:ascii="Times New Roman" w:hAnsi="Times New Roman" w:cs="Times New Roman"/>
          <w:sz w:val="24"/>
          <w:szCs w:val="24"/>
          <w:lang w:val="en-US" w:eastAsia="zh-CN"/>
        </w:rPr>
        <w:t>4</w:t>
      </w:r>
      <w:r>
        <w:rPr>
          <w:rFonts w:ascii="Times New Roman" w:hAnsi="Times New Roman" w:cs="Times New Roman"/>
          <w:sz w:val="24"/>
          <w:szCs w:val="24"/>
        </w:rPr>
        <w:t>日</w:t>
      </w:r>
    </w:p>
    <w:p w14:paraId="3A464D2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60B22E5">
      <w:pPr>
        <w:jc w:val="left"/>
        <w:rPr>
          <w:rFonts w:hint="eastAsia" w:ascii="宋体" w:hAnsi="宋体"/>
          <w:sz w:val="28"/>
          <w:szCs w:val="28"/>
        </w:rPr>
      </w:pPr>
      <w:r>
        <w:rPr>
          <w:rFonts w:ascii="宋体" w:hAnsi="宋体"/>
          <w:sz w:val="28"/>
          <w:szCs w:val="28"/>
        </w:rPr>
        <w:t>附件</w:t>
      </w:r>
      <w:r>
        <w:rPr>
          <w:rFonts w:hint="eastAsia" w:ascii="宋体" w:hAnsi="宋体"/>
          <w:sz w:val="28"/>
          <w:szCs w:val="28"/>
        </w:rPr>
        <w:t>1：</w:t>
      </w:r>
    </w:p>
    <w:p w14:paraId="6446857A">
      <w:pPr>
        <w:jc w:val="center"/>
        <w:rPr>
          <w:rFonts w:hint="eastAsia" w:ascii="宋体" w:hAnsi="宋体"/>
          <w:b/>
          <w:sz w:val="40"/>
          <w:szCs w:val="32"/>
        </w:rPr>
      </w:pPr>
      <w:r>
        <w:rPr>
          <w:rFonts w:hint="eastAsia" w:ascii="宋体" w:hAnsi="宋体"/>
          <w:b/>
          <w:sz w:val="40"/>
          <w:szCs w:val="32"/>
        </w:rPr>
        <w:t>人工智能学院</w:t>
      </w:r>
    </w:p>
    <w:p w14:paraId="007B94CE">
      <w:pPr>
        <w:jc w:val="center"/>
        <w:rPr>
          <w:rFonts w:hint="eastAsia" w:ascii="宋体" w:hAnsi="宋体"/>
          <w:b/>
          <w:sz w:val="40"/>
          <w:szCs w:val="32"/>
        </w:rPr>
      </w:pPr>
      <w:r>
        <w:rPr>
          <w:rFonts w:hint="eastAsia" w:ascii="宋体" w:hAnsi="宋体"/>
          <w:b/>
          <w:sz w:val="40"/>
          <w:szCs w:val="32"/>
        </w:rPr>
        <w:t>学业预警学生谈话记录表</w:t>
      </w:r>
    </w:p>
    <w:p w14:paraId="20086380">
      <w:pPr>
        <w:jc w:val="center"/>
        <w:rPr>
          <w:rFonts w:hint="eastAsia" w:ascii="宋体" w:hAnsi="宋体" w:cs="宋体"/>
          <w:b/>
          <w:sz w:val="28"/>
          <w:szCs w:val="28"/>
        </w:rPr>
      </w:pPr>
      <w:r>
        <w:rPr>
          <w:rFonts w:hint="eastAsia" w:ascii="宋体" w:hAnsi="宋体" w:cs="宋体"/>
          <w:b/>
          <w:sz w:val="28"/>
          <w:szCs w:val="28"/>
        </w:rPr>
        <w:t>（</w:t>
      </w:r>
      <w:r>
        <w:rPr>
          <w:rFonts w:ascii="宋体" w:hAnsi="宋体" w:cs="宋体"/>
          <w:b/>
          <w:sz w:val="28"/>
          <w:szCs w:val="28"/>
        </w:rPr>
        <w:t xml:space="preserve">     </w:t>
      </w:r>
      <w:r>
        <w:rPr>
          <w:rFonts w:hint="eastAsia" w:ascii="宋体" w:hAnsi="宋体" w:cs="宋体"/>
          <w:b/>
          <w:sz w:val="28"/>
          <w:szCs w:val="28"/>
        </w:rPr>
        <w:t>—</w:t>
      </w:r>
      <w:r>
        <w:rPr>
          <w:rFonts w:ascii="宋体" w:hAnsi="宋体" w:cs="宋体"/>
          <w:b/>
          <w:sz w:val="28"/>
          <w:szCs w:val="28"/>
        </w:rPr>
        <w:t xml:space="preserve">     </w:t>
      </w:r>
      <w:r>
        <w:rPr>
          <w:rFonts w:hint="eastAsia" w:ascii="宋体" w:hAnsi="宋体" w:cs="宋体"/>
          <w:b/>
          <w:sz w:val="28"/>
          <w:szCs w:val="28"/>
        </w:rPr>
        <w:t>学年第</w:t>
      </w:r>
      <w:r>
        <w:rPr>
          <w:rFonts w:ascii="宋体" w:hAnsi="宋体" w:cs="宋体"/>
          <w:b/>
          <w:sz w:val="28"/>
          <w:szCs w:val="28"/>
        </w:rPr>
        <w:t xml:space="preserve">  </w:t>
      </w:r>
      <w:r>
        <w:rPr>
          <w:rFonts w:hint="eastAsia" w:ascii="宋体" w:hAnsi="宋体" w:cs="宋体"/>
          <w:b/>
          <w:sz w:val="28"/>
          <w:szCs w:val="28"/>
        </w:rPr>
        <w:t>学期）</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902"/>
        <w:gridCol w:w="1544"/>
        <w:gridCol w:w="1241"/>
        <w:gridCol w:w="1537"/>
        <w:gridCol w:w="1261"/>
        <w:gridCol w:w="1521"/>
      </w:tblGrid>
      <w:tr w14:paraId="134B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2" w:type="pct"/>
            <w:gridSpan w:val="2"/>
            <w:vAlign w:val="center"/>
          </w:tcPr>
          <w:p w14:paraId="7CDDF5F9">
            <w:pPr>
              <w:jc w:val="center"/>
            </w:pPr>
            <w:r>
              <w:rPr>
                <w:rFonts w:hint="eastAsia"/>
                <w:lang w:val="zh-CN"/>
              </w:rPr>
              <w:t>谈话对象</w:t>
            </w:r>
          </w:p>
        </w:tc>
        <w:tc>
          <w:tcPr>
            <w:tcW w:w="906" w:type="pct"/>
            <w:vAlign w:val="center"/>
          </w:tcPr>
          <w:p w14:paraId="6A3239F1">
            <w:pPr>
              <w:jc w:val="center"/>
            </w:pPr>
          </w:p>
        </w:tc>
        <w:tc>
          <w:tcPr>
            <w:tcW w:w="728" w:type="pct"/>
            <w:vAlign w:val="center"/>
          </w:tcPr>
          <w:p w14:paraId="23E5CB1D">
            <w:pPr>
              <w:jc w:val="center"/>
            </w:pPr>
            <w:r>
              <w:rPr>
                <w:rFonts w:hint="eastAsia"/>
                <w:lang w:val="zh-CN"/>
              </w:rPr>
              <w:t>专业班级</w:t>
            </w:r>
          </w:p>
        </w:tc>
        <w:tc>
          <w:tcPr>
            <w:tcW w:w="902" w:type="pct"/>
            <w:vAlign w:val="center"/>
          </w:tcPr>
          <w:p w14:paraId="41ADD4FA">
            <w:pPr>
              <w:jc w:val="center"/>
            </w:pPr>
          </w:p>
        </w:tc>
        <w:tc>
          <w:tcPr>
            <w:tcW w:w="740" w:type="pct"/>
            <w:vAlign w:val="center"/>
          </w:tcPr>
          <w:p w14:paraId="44D05290">
            <w:pPr>
              <w:jc w:val="center"/>
            </w:pPr>
            <w:r>
              <w:rPr>
                <w:rFonts w:hint="eastAsia"/>
                <w:lang w:val="zh-CN"/>
              </w:rPr>
              <w:t>预警等级</w:t>
            </w:r>
          </w:p>
        </w:tc>
        <w:tc>
          <w:tcPr>
            <w:tcW w:w="892" w:type="pct"/>
            <w:vAlign w:val="center"/>
          </w:tcPr>
          <w:p w14:paraId="06FC2CB1">
            <w:pPr>
              <w:jc w:val="center"/>
            </w:pPr>
          </w:p>
        </w:tc>
      </w:tr>
      <w:tr w14:paraId="202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2" w:type="pct"/>
            <w:gridSpan w:val="2"/>
          </w:tcPr>
          <w:p w14:paraId="47552539">
            <w:pPr>
              <w:jc w:val="center"/>
              <w:rPr>
                <w:lang w:val="zh-CN"/>
              </w:rPr>
            </w:pPr>
            <w:r>
              <w:rPr>
                <w:rFonts w:hint="eastAsia"/>
                <w:lang w:val="zh-CN"/>
              </w:rPr>
              <w:t>辅导员</w:t>
            </w:r>
          </w:p>
          <w:p w14:paraId="2881DD57">
            <w:pPr>
              <w:jc w:val="center"/>
            </w:pPr>
            <w:r>
              <w:rPr>
                <w:rFonts w:hint="eastAsia"/>
                <w:lang w:val="zh-CN"/>
              </w:rPr>
              <w:t>（班主任）</w:t>
            </w:r>
          </w:p>
        </w:tc>
        <w:tc>
          <w:tcPr>
            <w:tcW w:w="906" w:type="pct"/>
            <w:vAlign w:val="center"/>
          </w:tcPr>
          <w:p w14:paraId="19152016">
            <w:pPr>
              <w:jc w:val="center"/>
            </w:pPr>
          </w:p>
        </w:tc>
        <w:tc>
          <w:tcPr>
            <w:tcW w:w="728" w:type="pct"/>
            <w:vAlign w:val="center"/>
          </w:tcPr>
          <w:p w14:paraId="5A7C986C">
            <w:pPr>
              <w:jc w:val="center"/>
            </w:pPr>
            <w:r>
              <w:rPr>
                <w:rFonts w:hint="eastAsia"/>
                <w:lang w:val="zh-CN"/>
              </w:rPr>
              <w:t>谈话时间</w:t>
            </w:r>
          </w:p>
        </w:tc>
        <w:tc>
          <w:tcPr>
            <w:tcW w:w="902" w:type="pct"/>
            <w:vAlign w:val="center"/>
          </w:tcPr>
          <w:p w14:paraId="78F05C6B">
            <w:pPr>
              <w:jc w:val="center"/>
            </w:pPr>
          </w:p>
        </w:tc>
        <w:tc>
          <w:tcPr>
            <w:tcW w:w="740" w:type="pct"/>
            <w:vAlign w:val="center"/>
          </w:tcPr>
          <w:p w14:paraId="3816785F">
            <w:pPr>
              <w:jc w:val="center"/>
            </w:pPr>
            <w:r>
              <w:rPr>
                <w:rFonts w:hint="eastAsia"/>
                <w:lang w:val="zh-CN"/>
              </w:rPr>
              <w:t>谈话地点</w:t>
            </w:r>
          </w:p>
        </w:tc>
        <w:tc>
          <w:tcPr>
            <w:tcW w:w="892" w:type="pct"/>
            <w:vAlign w:val="center"/>
          </w:tcPr>
          <w:p w14:paraId="5114A5F5">
            <w:pPr>
              <w:jc w:val="center"/>
            </w:pPr>
          </w:p>
        </w:tc>
      </w:tr>
      <w:tr w14:paraId="582F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32" w:type="pct"/>
            <w:gridSpan w:val="2"/>
          </w:tcPr>
          <w:p w14:paraId="5C218FC8">
            <w:pPr>
              <w:jc w:val="center"/>
              <w:rPr>
                <w:lang w:val="zh-CN"/>
              </w:rPr>
            </w:pPr>
          </w:p>
          <w:p w14:paraId="0E95DCA7">
            <w:pPr>
              <w:jc w:val="center"/>
              <w:rPr>
                <w:lang w:val="zh-CN"/>
              </w:rPr>
            </w:pPr>
            <w:r>
              <w:rPr>
                <w:rFonts w:hint="eastAsia"/>
                <w:lang w:val="zh-CN"/>
              </w:rPr>
              <w:t>学业</w:t>
            </w:r>
          </w:p>
          <w:p w14:paraId="263EA2D9">
            <w:pPr>
              <w:jc w:val="center"/>
            </w:pPr>
            <w:r>
              <w:rPr>
                <w:rFonts w:hint="eastAsia"/>
                <w:lang w:val="zh-CN"/>
              </w:rPr>
              <w:t>基本情况</w:t>
            </w:r>
          </w:p>
        </w:tc>
        <w:tc>
          <w:tcPr>
            <w:tcW w:w="4168" w:type="pct"/>
            <w:gridSpan w:val="5"/>
          </w:tcPr>
          <w:p w14:paraId="4BFA30CE"/>
        </w:tc>
      </w:tr>
      <w:tr w14:paraId="7E66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303" w:type="pct"/>
            <w:vMerge w:val="restart"/>
            <w:vAlign w:val="center"/>
          </w:tcPr>
          <w:p w14:paraId="22949967">
            <w:pPr>
              <w:jc w:val="center"/>
              <w:rPr>
                <w:lang w:val="zh-CN"/>
              </w:rPr>
            </w:pPr>
            <w:r>
              <w:rPr>
                <w:rFonts w:hint="eastAsia"/>
                <w:lang w:val="zh-CN"/>
              </w:rPr>
              <w:t>谈</w:t>
            </w:r>
          </w:p>
          <w:p w14:paraId="39CDD1AB">
            <w:pPr>
              <w:jc w:val="center"/>
              <w:rPr>
                <w:lang w:val="zh-CN"/>
              </w:rPr>
            </w:pPr>
            <w:r>
              <w:rPr>
                <w:rFonts w:hint="eastAsia"/>
                <w:lang w:val="zh-CN"/>
              </w:rPr>
              <w:t>话</w:t>
            </w:r>
          </w:p>
          <w:p w14:paraId="27F17160">
            <w:pPr>
              <w:jc w:val="center"/>
              <w:rPr>
                <w:lang w:val="zh-CN"/>
              </w:rPr>
            </w:pPr>
            <w:r>
              <w:rPr>
                <w:rFonts w:hint="eastAsia"/>
                <w:lang w:val="zh-CN"/>
              </w:rPr>
              <w:t>主</w:t>
            </w:r>
          </w:p>
          <w:p w14:paraId="74974B0F">
            <w:pPr>
              <w:jc w:val="center"/>
              <w:rPr>
                <w:lang w:val="zh-CN"/>
              </w:rPr>
            </w:pPr>
            <w:r>
              <w:rPr>
                <w:rFonts w:hint="eastAsia"/>
                <w:lang w:val="zh-CN"/>
              </w:rPr>
              <w:t>要</w:t>
            </w:r>
          </w:p>
          <w:p w14:paraId="6B2780D2">
            <w:pPr>
              <w:jc w:val="center"/>
              <w:rPr>
                <w:lang w:val="zh-CN"/>
              </w:rPr>
            </w:pPr>
            <w:r>
              <w:rPr>
                <w:rFonts w:hint="eastAsia"/>
                <w:lang w:val="zh-CN"/>
              </w:rPr>
              <w:t>内</w:t>
            </w:r>
          </w:p>
          <w:p w14:paraId="6585FA96">
            <w:pPr>
              <w:jc w:val="center"/>
              <w:rPr>
                <w:lang w:val="zh-CN"/>
              </w:rPr>
            </w:pPr>
            <w:r>
              <w:rPr>
                <w:rFonts w:hint="eastAsia"/>
                <w:lang w:val="zh-CN"/>
              </w:rPr>
              <w:t>容</w:t>
            </w:r>
          </w:p>
        </w:tc>
        <w:tc>
          <w:tcPr>
            <w:tcW w:w="529" w:type="pct"/>
            <w:vAlign w:val="center"/>
          </w:tcPr>
          <w:p w14:paraId="5FEB47E6">
            <w:pPr>
              <w:jc w:val="center"/>
            </w:pPr>
            <w:r>
              <w:rPr>
                <w:rFonts w:hint="eastAsia"/>
                <w:lang w:val="zh-CN"/>
              </w:rPr>
              <w:t>学业问题与原因分析</w:t>
            </w:r>
          </w:p>
        </w:tc>
        <w:tc>
          <w:tcPr>
            <w:tcW w:w="4168" w:type="pct"/>
            <w:gridSpan w:val="5"/>
          </w:tcPr>
          <w:p w14:paraId="6032229C">
            <w:pPr>
              <w:spacing w:line="400" w:lineRule="exact"/>
            </w:pPr>
          </w:p>
        </w:tc>
      </w:tr>
      <w:tr w14:paraId="2368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303" w:type="pct"/>
            <w:vMerge w:val="continue"/>
          </w:tcPr>
          <w:p w14:paraId="4552BE1A">
            <w:pPr>
              <w:jc w:val="center"/>
              <w:rPr>
                <w:lang w:val="zh-CN"/>
              </w:rPr>
            </w:pPr>
          </w:p>
        </w:tc>
        <w:tc>
          <w:tcPr>
            <w:tcW w:w="529" w:type="pct"/>
            <w:vAlign w:val="center"/>
          </w:tcPr>
          <w:p w14:paraId="1253B268">
            <w:pPr>
              <w:jc w:val="center"/>
            </w:pPr>
            <w:r>
              <w:rPr>
                <w:rFonts w:hint="eastAsia"/>
                <w:lang w:val="zh-CN"/>
              </w:rPr>
              <w:t>重修及补修课程选课情况或学习计划安排说明</w:t>
            </w:r>
          </w:p>
        </w:tc>
        <w:tc>
          <w:tcPr>
            <w:tcW w:w="4168" w:type="pct"/>
            <w:gridSpan w:val="5"/>
          </w:tcPr>
          <w:p w14:paraId="2FEFF3C8">
            <w:pPr>
              <w:rPr>
                <w:sz w:val="18"/>
                <w:szCs w:val="18"/>
              </w:rPr>
            </w:pPr>
          </w:p>
        </w:tc>
      </w:tr>
      <w:tr w14:paraId="08CF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03" w:type="pct"/>
            <w:vMerge w:val="continue"/>
          </w:tcPr>
          <w:p w14:paraId="6BFD2AED">
            <w:pPr>
              <w:jc w:val="center"/>
              <w:rPr>
                <w:lang w:val="zh-CN"/>
              </w:rPr>
            </w:pPr>
          </w:p>
        </w:tc>
        <w:tc>
          <w:tcPr>
            <w:tcW w:w="529" w:type="pct"/>
            <w:vAlign w:val="center"/>
          </w:tcPr>
          <w:p w14:paraId="6A64BD4E">
            <w:pPr>
              <w:jc w:val="center"/>
            </w:pPr>
            <w:r>
              <w:rPr>
                <w:rFonts w:hint="eastAsia"/>
                <w:lang w:val="zh-CN"/>
              </w:rPr>
              <w:t>其他问题及对策建议</w:t>
            </w:r>
          </w:p>
        </w:tc>
        <w:tc>
          <w:tcPr>
            <w:tcW w:w="4168" w:type="pct"/>
            <w:gridSpan w:val="5"/>
          </w:tcPr>
          <w:p w14:paraId="35BF593D">
            <w:pPr>
              <w:rPr>
                <w:sz w:val="18"/>
                <w:szCs w:val="18"/>
              </w:rPr>
            </w:pPr>
          </w:p>
        </w:tc>
      </w:tr>
      <w:tr w14:paraId="2474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832" w:type="pct"/>
            <w:gridSpan w:val="2"/>
            <w:vAlign w:val="center"/>
          </w:tcPr>
          <w:p w14:paraId="150914AA">
            <w:pPr>
              <w:jc w:val="center"/>
              <w:rPr>
                <w:lang w:val="zh-CN"/>
              </w:rPr>
            </w:pPr>
            <w:r>
              <w:rPr>
                <w:rFonts w:hint="eastAsia"/>
                <w:lang w:val="zh-CN"/>
              </w:rPr>
              <w:t>谈话签名</w:t>
            </w:r>
          </w:p>
        </w:tc>
        <w:tc>
          <w:tcPr>
            <w:tcW w:w="4168" w:type="pct"/>
            <w:gridSpan w:val="5"/>
          </w:tcPr>
          <w:p w14:paraId="186A8A7D">
            <w:pPr>
              <w:rPr>
                <w:sz w:val="18"/>
                <w:szCs w:val="18"/>
              </w:rPr>
            </w:pPr>
          </w:p>
          <w:p w14:paraId="4A4F90E3">
            <w:pPr>
              <w:rPr>
                <w:sz w:val="18"/>
                <w:szCs w:val="18"/>
              </w:rPr>
            </w:pPr>
            <w:r>
              <w:rPr>
                <w:rFonts w:hint="eastAsia"/>
                <w:sz w:val="18"/>
                <w:szCs w:val="18"/>
              </w:rPr>
              <w:t xml:space="preserve">学生签名：               </w:t>
            </w:r>
          </w:p>
          <w:p w14:paraId="69762622">
            <w:pPr>
              <w:rPr>
                <w:sz w:val="18"/>
                <w:szCs w:val="18"/>
              </w:rPr>
            </w:pPr>
          </w:p>
          <w:p w14:paraId="74A1E61A">
            <w:pPr>
              <w:rPr>
                <w:sz w:val="18"/>
                <w:szCs w:val="18"/>
              </w:rPr>
            </w:pPr>
          </w:p>
          <w:p w14:paraId="0205680A">
            <w:pPr>
              <w:rPr>
                <w:sz w:val="18"/>
                <w:szCs w:val="18"/>
              </w:rPr>
            </w:pPr>
            <w:r>
              <w:rPr>
                <w:rFonts w:hint="eastAsia"/>
                <w:sz w:val="18"/>
                <w:szCs w:val="18"/>
              </w:rPr>
              <w:t>老师签名：</w:t>
            </w:r>
          </w:p>
        </w:tc>
      </w:tr>
    </w:tbl>
    <w:p w14:paraId="34B5CB29"/>
    <w:p w14:paraId="3D3FB56B">
      <w:pPr>
        <w:widowControl/>
        <w:jc w:val="left"/>
        <w:rPr>
          <w:rFonts w:hint="eastAsia" w:ascii="宋体" w:hAnsi="宋体"/>
          <w:sz w:val="28"/>
          <w:szCs w:val="28"/>
        </w:rPr>
      </w:pPr>
      <w:r>
        <w:rPr>
          <w:rFonts w:ascii="宋体" w:hAnsi="宋体"/>
          <w:sz w:val="28"/>
          <w:szCs w:val="28"/>
        </w:rPr>
        <w:br w:type="page"/>
      </w:r>
      <w:r>
        <w:rPr>
          <w:rFonts w:ascii="宋体" w:hAnsi="宋体"/>
          <w:sz w:val="28"/>
          <w:szCs w:val="28"/>
        </w:rPr>
        <w:t>附件2</w:t>
      </w:r>
      <w:r>
        <w:rPr>
          <w:rFonts w:hint="eastAsia" w:ascii="宋体" w:hAnsi="宋体"/>
          <w:sz w:val="28"/>
          <w:szCs w:val="28"/>
        </w:rPr>
        <w:t>：</w:t>
      </w:r>
    </w:p>
    <w:p w14:paraId="66B0679E">
      <w:pPr>
        <w:spacing w:line="431" w:lineRule="exact"/>
        <w:ind w:left="0" w:leftChars="0" w:right="-94" w:rightChars="0" w:hanging="12" w:firstLineChars="0"/>
        <w:jc w:val="center"/>
        <w:rPr>
          <w:rFonts w:hint="eastAsia" w:ascii="宋体" w:hAnsi="宋体" w:eastAsia="宋体" w:cs="宋体"/>
          <w:sz w:val="32"/>
          <w:szCs w:val="32"/>
        </w:rPr>
      </w:pPr>
      <w:r>
        <w:rPr>
          <w:rFonts w:ascii="宋体" w:hAnsi="宋体" w:eastAsia="宋体" w:cs="宋体"/>
          <w:b/>
          <w:bCs/>
          <w:sz w:val="36"/>
          <w:szCs w:val="36"/>
        </w:rPr>
        <w:t>盐城师范学院</w:t>
      </w:r>
      <w:r>
        <w:rPr>
          <w:rFonts w:ascii="宋体" w:hAnsi="宋体" w:eastAsia="宋体" w:cs="宋体"/>
          <w:b/>
          <w:bCs/>
          <w:sz w:val="32"/>
          <w:szCs w:val="32"/>
        </w:rPr>
        <w:t>学业预警通知书</w:t>
      </w:r>
    </w:p>
    <w:p w14:paraId="188409C5">
      <w:pPr>
        <w:tabs>
          <w:tab w:val="left" w:pos="839"/>
        </w:tabs>
        <w:spacing w:before="7"/>
        <w:ind w:right="164"/>
        <w:jc w:val="right"/>
        <w:rPr>
          <w:rFonts w:hint="eastAsia" w:ascii="宋体" w:hAnsi="宋体" w:eastAsia="宋体" w:cs="宋体"/>
          <w:szCs w:val="21"/>
        </w:rPr>
      </w:pPr>
      <w:r>
        <w:rPr>
          <w:rFonts w:ascii="宋体" w:hAnsi="宋体" w:eastAsia="宋体" w:cs="宋体"/>
          <w:w w:val="95"/>
          <w:szCs w:val="21"/>
        </w:rPr>
        <w:t>第</w:t>
      </w:r>
      <w:r>
        <w:rPr>
          <w:rFonts w:ascii="宋体" w:hAnsi="宋体" w:eastAsia="宋体" w:cs="宋体"/>
          <w:w w:val="95"/>
          <w:szCs w:val="21"/>
        </w:rPr>
        <w:tab/>
      </w:r>
      <w:r>
        <w:rPr>
          <w:rFonts w:ascii="宋体" w:hAnsi="宋体" w:eastAsia="宋体" w:cs="宋体"/>
          <w:w w:val="95"/>
          <w:szCs w:val="21"/>
        </w:rPr>
        <w:t>号</w:t>
      </w:r>
    </w:p>
    <w:p w14:paraId="1C77773A">
      <w:pPr>
        <w:spacing w:before="6"/>
        <w:rPr>
          <w:rFonts w:hint="eastAsia" w:ascii="宋体" w:hAnsi="宋体" w:eastAsia="宋体" w:cs="宋体"/>
          <w:sz w:val="2"/>
          <w:szCs w:val="2"/>
        </w:rPr>
      </w:pPr>
    </w:p>
    <w:tbl>
      <w:tblPr>
        <w:tblStyle w:val="9"/>
        <w:tblW w:w="5000" w:type="pct"/>
        <w:tblInd w:w="0" w:type="dxa"/>
        <w:tblLayout w:type="autofit"/>
        <w:tblCellMar>
          <w:top w:w="0" w:type="dxa"/>
          <w:left w:w="0" w:type="dxa"/>
          <w:bottom w:w="0" w:type="dxa"/>
          <w:right w:w="0" w:type="dxa"/>
        </w:tblCellMar>
      </w:tblPr>
      <w:tblGrid>
        <w:gridCol w:w="1171"/>
        <w:gridCol w:w="1302"/>
        <w:gridCol w:w="1495"/>
        <w:gridCol w:w="1084"/>
        <w:gridCol w:w="647"/>
        <w:gridCol w:w="1392"/>
        <w:gridCol w:w="1225"/>
      </w:tblGrid>
      <w:tr w14:paraId="1B232B67">
        <w:tblPrEx>
          <w:tblCellMar>
            <w:top w:w="0" w:type="dxa"/>
            <w:left w:w="0" w:type="dxa"/>
            <w:bottom w:w="0" w:type="dxa"/>
            <w:right w:w="0" w:type="dxa"/>
          </w:tblCellMar>
        </w:tblPrEx>
        <w:trPr>
          <w:trHeight w:val="533" w:hRule="exact"/>
        </w:trPr>
        <w:tc>
          <w:tcPr>
            <w:tcW w:w="704" w:type="pct"/>
            <w:tcBorders>
              <w:top w:val="single" w:color="000000" w:sz="4" w:space="0"/>
              <w:left w:val="single" w:color="000000" w:sz="4" w:space="0"/>
              <w:bottom w:val="single" w:color="000000" w:sz="4" w:space="0"/>
              <w:right w:val="single" w:color="000000" w:sz="4" w:space="0"/>
            </w:tcBorders>
          </w:tcPr>
          <w:p w14:paraId="2E25A970">
            <w:pPr>
              <w:pStyle w:val="11"/>
              <w:spacing w:before="91"/>
              <w:jc w:val="center"/>
              <w:rPr>
                <w:rFonts w:hint="eastAsia" w:ascii="宋体" w:hAnsi="宋体" w:eastAsia="宋体" w:cs="宋体"/>
                <w:sz w:val="21"/>
                <w:szCs w:val="21"/>
              </w:rPr>
            </w:pPr>
            <w:r>
              <w:rPr>
                <w:rFonts w:ascii="宋体" w:hAnsi="宋体" w:eastAsia="宋体" w:cs="宋体"/>
                <w:sz w:val="21"/>
                <w:szCs w:val="21"/>
              </w:rPr>
              <w:t>班级</w:t>
            </w:r>
          </w:p>
        </w:tc>
        <w:tc>
          <w:tcPr>
            <w:tcW w:w="783" w:type="pct"/>
            <w:tcBorders>
              <w:top w:val="single" w:color="000000" w:sz="4" w:space="0"/>
              <w:left w:val="single" w:color="000000" w:sz="4" w:space="0"/>
              <w:bottom w:val="single" w:color="000000" w:sz="4" w:space="0"/>
              <w:right w:val="single" w:color="000000" w:sz="4" w:space="0"/>
            </w:tcBorders>
          </w:tcPr>
          <w:p w14:paraId="75E1FE75">
            <w:pPr>
              <w:rPr>
                <w:kern w:val="0"/>
                <w:sz w:val="22"/>
                <w:lang w:eastAsia="en-US"/>
              </w:rPr>
            </w:pPr>
          </w:p>
        </w:tc>
        <w:tc>
          <w:tcPr>
            <w:tcW w:w="899" w:type="pct"/>
            <w:tcBorders>
              <w:top w:val="single" w:color="000000" w:sz="4" w:space="0"/>
              <w:left w:val="single" w:color="000000" w:sz="4" w:space="0"/>
              <w:bottom w:val="single" w:color="000000" w:sz="4" w:space="0"/>
              <w:right w:val="single" w:color="000000" w:sz="4" w:space="0"/>
            </w:tcBorders>
          </w:tcPr>
          <w:p w14:paraId="79EBC75C">
            <w:pPr>
              <w:pStyle w:val="11"/>
              <w:spacing w:before="91"/>
              <w:ind w:right="1"/>
              <w:jc w:val="center"/>
              <w:rPr>
                <w:rFonts w:hint="eastAsia" w:ascii="宋体" w:hAnsi="宋体" w:eastAsia="宋体" w:cs="宋体"/>
                <w:sz w:val="21"/>
                <w:szCs w:val="21"/>
              </w:rPr>
            </w:pPr>
            <w:r>
              <w:rPr>
                <w:rFonts w:ascii="宋体" w:hAnsi="宋体" w:eastAsia="宋体" w:cs="宋体"/>
                <w:sz w:val="21"/>
                <w:szCs w:val="21"/>
              </w:rPr>
              <w:t>姓名</w:t>
            </w:r>
          </w:p>
        </w:tc>
        <w:tc>
          <w:tcPr>
            <w:tcW w:w="652" w:type="pct"/>
            <w:tcBorders>
              <w:top w:val="single" w:color="000000" w:sz="4" w:space="0"/>
              <w:left w:val="single" w:color="000000" w:sz="4" w:space="0"/>
              <w:bottom w:val="single" w:color="000000" w:sz="4" w:space="0"/>
              <w:right w:val="single" w:color="000000" w:sz="4" w:space="0"/>
            </w:tcBorders>
          </w:tcPr>
          <w:p w14:paraId="654C142C">
            <w:pPr>
              <w:rPr>
                <w:kern w:val="0"/>
                <w:sz w:val="22"/>
                <w:lang w:eastAsia="en-US"/>
              </w:rPr>
            </w:pPr>
          </w:p>
        </w:tc>
        <w:tc>
          <w:tcPr>
            <w:tcW w:w="389" w:type="pct"/>
            <w:tcBorders>
              <w:top w:val="single" w:color="000000" w:sz="4" w:space="0"/>
              <w:left w:val="single" w:color="000000" w:sz="4" w:space="0"/>
              <w:bottom w:val="single" w:color="000000" w:sz="4" w:space="0"/>
              <w:right w:val="single" w:color="000000" w:sz="4" w:space="0"/>
            </w:tcBorders>
          </w:tcPr>
          <w:p w14:paraId="32AED0A6">
            <w:pPr>
              <w:pStyle w:val="11"/>
              <w:spacing w:before="91"/>
              <w:ind w:left="146"/>
              <w:rPr>
                <w:rFonts w:hint="eastAsia" w:ascii="宋体" w:hAnsi="宋体" w:eastAsia="宋体" w:cs="宋体"/>
                <w:sz w:val="21"/>
                <w:szCs w:val="21"/>
              </w:rPr>
            </w:pPr>
            <w:r>
              <w:rPr>
                <w:rFonts w:ascii="宋体" w:hAnsi="宋体" w:eastAsia="宋体" w:cs="宋体"/>
                <w:sz w:val="21"/>
                <w:szCs w:val="21"/>
              </w:rPr>
              <w:t>学号</w:t>
            </w:r>
          </w:p>
        </w:tc>
        <w:tc>
          <w:tcPr>
            <w:tcW w:w="1573" w:type="pct"/>
            <w:gridSpan w:val="2"/>
            <w:tcBorders>
              <w:top w:val="single" w:color="000000" w:sz="4" w:space="0"/>
              <w:left w:val="single" w:color="000000" w:sz="4" w:space="0"/>
              <w:bottom w:val="single" w:color="000000" w:sz="4" w:space="0"/>
              <w:right w:val="single" w:color="000000" w:sz="4" w:space="0"/>
            </w:tcBorders>
          </w:tcPr>
          <w:p w14:paraId="77874306">
            <w:pPr>
              <w:rPr>
                <w:kern w:val="0"/>
                <w:sz w:val="22"/>
                <w:lang w:eastAsia="en-US"/>
              </w:rPr>
            </w:pPr>
          </w:p>
        </w:tc>
      </w:tr>
      <w:tr w14:paraId="1F70BE81">
        <w:tblPrEx>
          <w:tblCellMar>
            <w:top w:w="0" w:type="dxa"/>
            <w:left w:w="0" w:type="dxa"/>
            <w:bottom w:w="0" w:type="dxa"/>
            <w:right w:w="0" w:type="dxa"/>
          </w:tblCellMar>
        </w:tblPrEx>
        <w:trPr>
          <w:trHeight w:val="533" w:hRule="exact"/>
        </w:trPr>
        <w:tc>
          <w:tcPr>
            <w:tcW w:w="704" w:type="pct"/>
            <w:tcBorders>
              <w:top w:val="single" w:color="000000" w:sz="4" w:space="0"/>
              <w:left w:val="single" w:color="000000" w:sz="4" w:space="0"/>
              <w:bottom w:val="single" w:color="000000" w:sz="4" w:space="0"/>
              <w:right w:val="single" w:color="000000" w:sz="4" w:space="0"/>
            </w:tcBorders>
          </w:tcPr>
          <w:p w14:paraId="2F44C963">
            <w:pPr>
              <w:pStyle w:val="11"/>
              <w:spacing w:before="91"/>
              <w:ind w:left="226"/>
              <w:rPr>
                <w:rFonts w:hint="eastAsia" w:ascii="宋体" w:hAnsi="宋体" w:eastAsia="宋体" w:cs="宋体"/>
                <w:sz w:val="21"/>
                <w:szCs w:val="21"/>
              </w:rPr>
            </w:pPr>
            <w:r>
              <w:rPr>
                <w:rFonts w:ascii="宋体" w:hAnsi="宋体" w:eastAsia="宋体" w:cs="宋体"/>
                <w:sz w:val="21"/>
                <w:szCs w:val="21"/>
              </w:rPr>
              <w:t>当前学期</w:t>
            </w:r>
          </w:p>
        </w:tc>
        <w:tc>
          <w:tcPr>
            <w:tcW w:w="1682" w:type="pct"/>
            <w:gridSpan w:val="2"/>
            <w:tcBorders>
              <w:top w:val="single" w:color="000000" w:sz="4" w:space="0"/>
              <w:left w:val="single" w:color="000000" w:sz="4" w:space="0"/>
              <w:bottom w:val="single" w:color="000000" w:sz="4" w:space="0"/>
              <w:right w:val="single" w:color="000000" w:sz="4" w:space="0"/>
            </w:tcBorders>
          </w:tcPr>
          <w:p w14:paraId="7CEEB2ED">
            <w:pPr>
              <w:pStyle w:val="11"/>
              <w:tabs>
                <w:tab w:val="left" w:pos="628"/>
                <w:tab w:val="left" w:pos="1257"/>
                <w:tab w:val="left" w:pos="2308"/>
              </w:tabs>
              <w:spacing w:before="91"/>
              <w:ind w:left="102"/>
              <w:rPr>
                <w:rFonts w:hint="eastAsia" w:ascii="宋体" w:hAnsi="宋体" w:eastAsia="宋体" w:cs="宋体"/>
                <w:sz w:val="21"/>
                <w:szCs w:val="21"/>
              </w:rPr>
            </w:pPr>
            <w:r>
              <w:rPr>
                <w:rFonts w:ascii="Times New Roman" w:hAnsi="Times New Roman" w:eastAsia="Times New Roman" w:cs="Times New Roman"/>
                <w:w w:val="99"/>
                <w:sz w:val="21"/>
                <w:szCs w:val="21"/>
                <w:u w:val="single" w:color="000000"/>
              </w:rPr>
              <w:t xml:space="preserve"> </w:t>
            </w:r>
            <w:r>
              <w:rPr>
                <w:rFonts w:ascii="Times New Roman" w:hAnsi="Times New Roman" w:eastAsia="Times New Roman" w:cs="Times New Roman"/>
                <w:sz w:val="21"/>
                <w:szCs w:val="21"/>
                <w:u w:val="single" w:color="000000"/>
              </w:rPr>
              <w:tab/>
            </w:r>
            <w:r>
              <w:rPr>
                <w:rFonts w:ascii="宋体" w:hAnsi="宋体" w:eastAsia="宋体" w:cs="宋体"/>
                <w:spacing w:val="-1"/>
                <w:w w:val="95"/>
                <w:sz w:val="21"/>
                <w:szCs w:val="21"/>
              </w:rPr>
              <w:t>～</w:t>
            </w:r>
            <w:r>
              <w:rPr>
                <w:rFonts w:ascii="Times New Roman" w:hAnsi="Times New Roman" w:eastAsia="Times New Roman" w:cs="Times New Roman"/>
                <w:spacing w:val="-1"/>
                <w:w w:val="95"/>
                <w:sz w:val="21"/>
                <w:szCs w:val="21"/>
                <w:u w:val="single" w:color="000000"/>
              </w:rPr>
              <w:tab/>
            </w:r>
            <w:r>
              <w:rPr>
                <w:rFonts w:ascii="宋体" w:hAnsi="宋体" w:eastAsia="宋体" w:cs="宋体"/>
                <w:spacing w:val="-1"/>
                <w:sz w:val="21"/>
                <w:szCs w:val="21"/>
              </w:rPr>
              <w:t>学年</w:t>
            </w:r>
            <w:r>
              <w:rPr>
                <w:rFonts w:ascii="宋体" w:hAnsi="宋体" w:eastAsia="宋体" w:cs="宋体"/>
                <w:sz w:val="21"/>
                <w:szCs w:val="21"/>
              </w:rPr>
              <w:t xml:space="preserve"> </w:t>
            </w:r>
            <w:r>
              <w:rPr>
                <w:rFonts w:ascii="宋体" w:hAnsi="宋体" w:eastAsia="宋体" w:cs="宋体"/>
                <w:spacing w:val="1"/>
                <w:sz w:val="21"/>
                <w:szCs w:val="21"/>
              </w:rPr>
              <w:t>第</w:t>
            </w:r>
            <w:r>
              <w:rPr>
                <w:rFonts w:ascii="Times New Roman" w:hAnsi="Times New Roman" w:eastAsia="Times New Roman" w:cs="Times New Roman"/>
                <w:spacing w:val="1"/>
                <w:sz w:val="21"/>
                <w:szCs w:val="21"/>
                <w:u w:val="single" w:color="000000"/>
              </w:rPr>
              <w:tab/>
            </w:r>
            <w:r>
              <w:rPr>
                <w:rFonts w:ascii="宋体" w:hAnsi="宋体" w:eastAsia="宋体" w:cs="宋体"/>
                <w:spacing w:val="-1"/>
                <w:sz w:val="21"/>
                <w:szCs w:val="21"/>
              </w:rPr>
              <w:t>学期</w:t>
            </w:r>
          </w:p>
        </w:tc>
        <w:tc>
          <w:tcPr>
            <w:tcW w:w="1878" w:type="pct"/>
            <w:gridSpan w:val="3"/>
            <w:tcBorders>
              <w:top w:val="single" w:color="000000" w:sz="4" w:space="0"/>
              <w:left w:val="single" w:color="000000" w:sz="4" w:space="0"/>
              <w:bottom w:val="single" w:color="000000" w:sz="4" w:space="0"/>
              <w:right w:val="single" w:color="000000" w:sz="4" w:space="0"/>
            </w:tcBorders>
          </w:tcPr>
          <w:p w14:paraId="6C5337BD">
            <w:pPr>
              <w:pStyle w:val="11"/>
              <w:spacing w:before="91"/>
              <w:ind w:left="370"/>
              <w:rPr>
                <w:rFonts w:hint="eastAsia" w:ascii="宋体" w:hAnsi="宋体" w:eastAsia="宋体" w:cs="宋体"/>
                <w:sz w:val="21"/>
                <w:szCs w:val="21"/>
                <w:lang w:eastAsia="zh-CN"/>
              </w:rPr>
            </w:pPr>
            <w:r>
              <w:rPr>
                <w:rFonts w:ascii="宋体" w:hAnsi="宋体" w:eastAsia="宋体" w:cs="宋体"/>
                <w:sz w:val="21"/>
                <w:szCs w:val="21"/>
                <w:lang w:eastAsia="zh-CN"/>
              </w:rPr>
              <w:t>考核未通过课程的累计学分数</w:t>
            </w:r>
          </w:p>
        </w:tc>
        <w:tc>
          <w:tcPr>
            <w:tcW w:w="736" w:type="pct"/>
            <w:tcBorders>
              <w:top w:val="single" w:color="000000" w:sz="4" w:space="0"/>
              <w:left w:val="single" w:color="000000" w:sz="4" w:space="0"/>
              <w:bottom w:val="single" w:color="000000" w:sz="4" w:space="0"/>
              <w:right w:val="single" w:color="000000" w:sz="4" w:space="0"/>
            </w:tcBorders>
          </w:tcPr>
          <w:p w14:paraId="4F8E416C">
            <w:pPr>
              <w:rPr>
                <w:kern w:val="0"/>
                <w:sz w:val="22"/>
                <w:lang w:eastAsia="zh-CN"/>
              </w:rPr>
            </w:pPr>
          </w:p>
        </w:tc>
      </w:tr>
      <w:tr w14:paraId="64BAD125">
        <w:tblPrEx>
          <w:tblCellMar>
            <w:top w:w="0" w:type="dxa"/>
            <w:left w:w="0" w:type="dxa"/>
            <w:bottom w:w="0" w:type="dxa"/>
            <w:right w:w="0" w:type="dxa"/>
          </w:tblCellMar>
        </w:tblPrEx>
        <w:trPr>
          <w:trHeight w:val="316" w:hRule="exact"/>
        </w:trPr>
        <w:tc>
          <w:tcPr>
            <w:tcW w:w="5000" w:type="pct"/>
            <w:gridSpan w:val="7"/>
            <w:tcBorders>
              <w:top w:val="single" w:color="000000" w:sz="4" w:space="0"/>
              <w:left w:val="single" w:color="000000" w:sz="4" w:space="0"/>
              <w:bottom w:val="nil"/>
              <w:right w:val="single" w:color="000000" w:sz="4" w:space="0"/>
            </w:tcBorders>
          </w:tcPr>
          <w:p w14:paraId="43490E6A">
            <w:pPr>
              <w:pStyle w:val="11"/>
              <w:spacing w:line="260" w:lineRule="exact"/>
              <w:ind w:left="103"/>
              <w:rPr>
                <w:rFonts w:hint="eastAsia" w:ascii="宋体" w:hAnsi="宋体" w:eastAsia="宋体" w:cs="宋体"/>
                <w:sz w:val="21"/>
                <w:szCs w:val="21"/>
              </w:rPr>
            </w:pPr>
            <w:r>
              <w:rPr>
                <w:rFonts w:ascii="宋体" w:hAnsi="宋体" w:eastAsia="宋体" w:cs="宋体"/>
                <w:sz w:val="21"/>
                <w:szCs w:val="21"/>
              </w:rPr>
              <w:t>亲爱的同学：</w:t>
            </w:r>
          </w:p>
        </w:tc>
      </w:tr>
      <w:tr w14:paraId="22CFCB81">
        <w:tblPrEx>
          <w:tblCellMar>
            <w:top w:w="0" w:type="dxa"/>
            <w:left w:w="0" w:type="dxa"/>
            <w:bottom w:w="0" w:type="dxa"/>
            <w:right w:w="0" w:type="dxa"/>
          </w:tblCellMar>
        </w:tblPrEx>
        <w:trPr>
          <w:trHeight w:val="312" w:hRule="exact"/>
        </w:trPr>
        <w:tc>
          <w:tcPr>
            <w:tcW w:w="5000" w:type="pct"/>
            <w:gridSpan w:val="7"/>
            <w:tcBorders>
              <w:top w:val="nil"/>
              <w:left w:val="single" w:color="000000" w:sz="4" w:space="0"/>
              <w:bottom w:val="nil"/>
              <w:right w:val="single" w:color="000000" w:sz="4" w:space="0"/>
            </w:tcBorders>
          </w:tcPr>
          <w:p w14:paraId="6DF67412">
            <w:pPr>
              <w:pStyle w:val="11"/>
              <w:spacing w:line="261" w:lineRule="exact"/>
              <w:ind w:left="523"/>
              <w:rPr>
                <w:rFonts w:hint="eastAsia" w:ascii="宋体" w:hAnsi="宋体" w:eastAsia="宋体" w:cs="宋体"/>
                <w:sz w:val="21"/>
                <w:szCs w:val="21"/>
                <w:lang w:eastAsia="zh-CN"/>
              </w:rPr>
            </w:pPr>
            <w:r>
              <w:rPr>
                <w:rFonts w:ascii="宋体" w:hAnsi="宋体" w:eastAsia="宋体" w:cs="宋体"/>
                <w:sz w:val="21"/>
                <w:szCs w:val="21"/>
                <w:lang w:eastAsia="zh-CN"/>
              </w:rPr>
              <w:t>截止本学期目前为止，你的学业情况为（包括学分获取情况、以往曾受到的学业预警情况以及</w:t>
            </w:r>
          </w:p>
        </w:tc>
      </w:tr>
      <w:tr w14:paraId="6D114253">
        <w:tblPrEx>
          <w:tblCellMar>
            <w:top w:w="0" w:type="dxa"/>
            <w:left w:w="0" w:type="dxa"/>
            <w:bottom w:w="0" w:type="dxa"/>
            <w:right w:w="0" w:type="dxa"/>
          </w:tblCellMar>
        </w:tblPrEx>
        <w:trPr>
          <w:trHeight w:val="1092" w:hRule="exact"/>
        </w:trPr>
        <w:tc>
          <w:tcPr>
            <w:tcW w:w="5000" w:type="pct"/>
            <w:gridSpan w:val="7"/>
            <w:tcBorders>
              <w:top w:val="nil"/>
              <w:left w:val="single" w:color="000000" w:sz="4" w:space="0"/>
              <w:bottom w:val="nil"/>
              <w:right w:val="single" w:color="000000" w:sz="4" w:space="0"/>
            </w:tcBorders>
          </w:tcPr>
          <w:p w14:paraId="18BEDC2C">
            <w:pPr>
              <w:pStyle w:val="11"/>
              <w:spacing w:line="261" w:lineRule="exact"/>
              <w:ind w:left="103"/>
              <w:rPr>
                <w:rFonts w:hint="eastAsia" w:ascii="宋体" w:hAnsi="宋体" w:eastAsia="宋体" w:cs="宋体"/>
                <w:sz w:val="21"/>
                <w:szCs w:val="21"/>
                <w:lang w:eastAsia="zh-CN"/>
              </w:rPr>
            </w:pPr>
            <w:r>
              <w:rPr>
                <w:rFonts w:ascii="宋体" w:hAnsi="宋体" w:eastAsia="宋体" w:cs="宋体"/>
                <w:spacing w:val="-10"/>
                <w:sz w:val="21"/>
                <w:szCs w:val="21"/>
                <w:lang w:eastAsia="zh-CN"/>
              </w:rPr>
              <w:t>当前不及格课程门数）：</w:t>
            </w:r>
          </w:p>
        </w:tc>
      </w:tr>
      <w:tr w14:paraId="01D3766F">
        <w:tblPrEx>
          <w:tblCellMar>
            <w:top w:w="0" w:type="dxa"/>
            <w:left w:w="0" w:type="dxa"/>
            <w:bottom w:w="0" w:type="dxa"/>
            <w:right w:w="0" w:type="dxa"/>
          </w:tblCellMar>
        </w:tblPrEx>
        <w:trPr>
          <w:trHeight w:val="1098" w:hRule="exact"/>
        </w:trPr>
        <w:tc>
          <w:tcPr>
            <w:tcW w:w="5000" w:type="pct"/>
            <w:gridSpan w:val="7"/>
            <w:tcBorders>
              <w:top w:val="nil"/>
              <w:left w:val="single" w:color="000000" w:sz="4" w:space="0"/>
              <w:bottom w:val="nil"/>
              <w:right w:val="single" w:color="000000" w:sz="4" w:space="0"/>
            </w:tcBorders>
          </w:tcPr>
          <w:p w14:paraId="4A2A48C9">
            <w:pPr>
              <w:pStyle w:val="11"/>
              <w:rPr>
                <w:rFonts w:hint="eastAsia" w:ascii="宋体" w:hAnsi="宋体" w:eastAsia="宋体" w:cs="宋体"/>
                <w:lang w:eastAsia="zh-CN"/>
              </w:rPr>
            </w:pPr>
          </w:p>
          <w:p w14:paraId="533730BE">
            <w:pPr>
              <w:pStyle w:val="11"/>
              <w:rPr>
                <w:rFonts w:hint="eastAsia" w:ascii="宋体" w:hAnsi="宋体" w:eastAsia="宋体" w:cs="宋体"/>
                <w:lang w:eastAsia="zh-CN"/>
              </w:rPr>
            </w:pPr>
          </w:p>
          <w:p w14:paraId="0755CE2E">
            <w:pPr>
              <w:pStyle w:val="11"/>
              <w:tabs>
                <w:tab w:val="left" w:pos="6830"/>
              </w:tabs>
              <w:spacing w:before="190"/>
              <w:ind w:left="523"/>
              <w:rPr>
                <w:rFonts w:hint="eastAsia" w:ascii="宋体" w:hAnsi="宋体" w:eastAsia="宋体" w:cs="宋体"/>
                <w:sz w:val="21"/>
                <w:szCs w:val="21"/>
                <w:lang w:eastAsia="zh-CN"/>
              </w:rPr>
            </w:pPr>
            <w:r>
              <w:rPr>
                <w:rFonts w:ascii="宋体" w:hAnsi="宋体" w:eastAsia="宋体" w:cs="宋体"/>
                <w:w w:val="95"/>
                <w:sz w:val="21"/>
                <w:szCs w:val="21"/>
                <w:lang w:eastAsia="zh-CN"/>
              </w:rPr>
              <w:t>按照我校学生管理规定，现给予学业预警，预警类型为</w:t>
            </w:r>
            <w:r>
              <w:rPr>
                <w:rFonts w:ascii="Times New Roman" w:hAnsi="Times New Roman" w:eastAsia="Times New Roman" w:cs="Times New Roman"/>
                <w:w w:val="95"/>
                <w:sz w:val="21"/>
                <w:szCs w:val="21"/>
                <w:u w:val="single" w:color="000000"/>
                <w:lang w:eastAsia="zh-CN"/>
              </w:rPr>
              <w:tab/>
            </w:r>
            <w:r>
              <w:rPr>
                <w:rFonts w:ascii="宋体" w:hAnsi="宋体" w:eastAsia="宋体" w:cs="宋体"/>
                <w:sz w:val="21"/>
                <w:szCs w:val="21"/>
                <w:lang w:eastAsia="zh-CN"/>
              </w:rPr>
              <w:t>。期待你加倍努力，高度</w:t>
            </w:r>
          </w:p>
        </w:tc>
      </w:tr>
      <w:tr w14:paraId="65410089">
        <w:tblPrEx>
          <w:tblCellMar>
            <w:top w:w="0" w:type="dxa"/>
            <w:left w:w="0" w:type="dxa"/>
            <w:bottom w:w="0" w:type="dxa"/>
            <w:right w:w="0" w:type="dxa"/>
          </w:tblCellMar>
        </w:tblPrEx>
        <w:trPr>
          <w:trHeight w:val="306" w:hRule="exact"/>
        </w:trPr>
        <w:tc>
          <w:tcPr>
            <w:tcW w:w="5000" w:type="pct"/>
            <w:gridSpan w:val="7"/>
            <w:tcBorders>
              <w:top w:val="nil"/>
              <w:left w:val="single" w:color="000000" w:sz="4" w:space="0"/>
              <w:bottom w:val="nil"/>
              <w:right w:val="single" w:color="000000" w:sz="4" w:space="0"/>
            </w:tcBorders>
          </w:tcPr>
          <w:p w14:paraId="28732AE3">
            <w:pPr>
              <w:pStyle w:val="11"/>
              <w:spacing w:line="255" w:lineRule="exact"/>
              <w:ind w:left="103"/>
              <w:rPr>
                <w:rFonts w:hint="eastAsia" w:ascii="宋体" w:hAnsi="宋体" w:eastAsia="宋体" w:cs="宋体"/>
                <w:sz w:val="21"/>
                <w:szCs w:val="21"/>
              </w:rPr>
            </w:pPr>
            <w:r>
              <w:rPr>
                <w:rFonts w:ascii="宋体" w:hAnsi="宋体" w:eastAsia="宋体" w:cs="宋体"/>
                <w:sz w:val="21"/>
                <w:szCs w:val="21"/>
                <w:lang w:eastAsia="zh-CN"/>
              </w:rPr>
              <w:t>重视，尽快补回不及格课程的学分，以免影响按期获得学历和学位证书。</w:t>
            </w:r>
            <w:r>
              <w:rPr>
                <w:rFonts w:ascii="宋体" w:hAnsi="宋体" w:eastAsia="宋体" w:cs="宋体"/>
                <w:sz w:val="21"/>
                <w:szCs w:val="21"/>
              </w:rPr>
              <w:t>祝你学习顺利！</w:t>
            </w:r>
          </w:p>
        </w:tc>
      </w:tr>
      <w:tr w14:paraId="69D596C5">
        <w:tblPrEx>
          <w:tblCellMar>
            <w:top w:w="0" w:type="dxa"/>
            <w:left w:w="0" w:type="dxa"/>
            <w:bottom w:w="0" w:type="dxa"/>
            <w:right w:w="0" w:type="dxa"/>
          </w:tblCellMar>
        </w:tblPrEx>
        <w:trPr>
          <w:trHeight w:val="389" w:hRule="exact"/>
        </w:trPr>
        <w:tc>
          <w:tcPr>
            <w:tcW w:w="5000" w:type="pct"/>
            <w:gridSpan w:val="7"/>
            <w:tcBorders>
              <w:top w:val="nil"/>
              <w:left w:val="single" w:color="000000" w:sz="4" w:space="0"/>
              <w:bottom w:val="nil"/>
              <w:right w:val="single" w:color="000000" w:sz="4" w:space="0"/>
            </w:tcBorders>
          </w:tcPr>
          <w:p w14:paraId="09BE6FD9">
            <w:pPr>
              <w:pStyle w:val="11"/>
              <w:spacing w:line="261" w:lineRule="exact"/>
              <w:ind w:left="5352"/>
              <w:rPr>
                <w:rFonts w:hint="eastAsia" w:ascii="宋体" w:hAnsi="宋体" w:eastAsia="宋体" w:cs="宋体"/>
                <w:sz w:val="21"/>
                <w:szCs w:val="21"/>
              </w:rPr>
            </w:pPr>
            <w:r>
              <w:rPr>
                <w:rFonts w:ascii="宋体" w:hAnsi="宋体" w:eastAsia="宋体" w:cs="宋体"/>
                <w:spacing w:val="-21"/>
                <w:sz w:val="21"/>
                <w:szCs w:val="21"/>
              </w:rPr>
              <w:t>院（系）：</w:t>
            </w:r>
            <w:r>
              <w:rPr>
                <w:rFonts w:ascii="宋体" w:hAnsi="宋体" w:eastAsia="宋体" w:cs="宋体"/>
                <w:spacing w:val="-5"/>
                <w:sz w:val="21"/>
                <w:szCs w:val="21"/>
              </w:rPr>
              <w:t xml:space="preserve"> </w:t>
            </w:r>
            <w:r>
              <w:rPr>
                <w:rFonts w:ascii="宋体" w:hAnsi="宋体" w:eastAsia="宋体" w:cs="宋体"/>
                <w:sz w:val="21"/>
                <w:szCs w:val="21"/>
              </w:rPr>
              <w:t>（盖章）</w:t>
            </w:r>
          </w:p>
        </w:tc>
      </w:tr>
      <w:tr w14:paraId="795E8A2B">
        <w:tblPrEx>
          <w:tblCellMar>
            <w:top w:w="0" w:type="dxa"/>
            <w:left w:w="0" w:type="dxa"/>
            <w:bottom w:w="0" w:type="dxa"/>
            <w:right w:w="0" w:type="dxa"/>
          </w:tblCellMar>
        </w:tblPrEx>
        <w:trPr>
          <w:trHeight w:val="409" w:hRule="exact"/>
        </w:trPr>
        <w:tc>
          <w:tcPr>
            <w:tcW w:w="5000" w:type="pct"/>
            <w:gridSpan w:val="7"/>
            <w:tcBorders>
              <w:top w:val="nil"/>
              <w:left w:val="single" w:color="000000" w:sz="4" w:space="0"/>
              <w:bottom w:val="single" w:color="000000" w:sz="4" w:space="0"/>
              <w:right w:val="single" w:color="000000" w:sz="4" w:space="0"/>
            </w:tcBorders>
          </w:tcPr>
          <w:p w14:paraId="4205F396">
            <w:pPr>
              <w:pStyle w:val="11"/>
              <w:spacing w:before="62"/>
              <w:ind w:left="5249"/>
              <w:rPr>
                <w:rFonts w:hint="eastAsia" w:ascii="宋体" w:hAnsi="宋体" w:eastAsia="宋体" w:cs="宋体"/>
                <w:sz w:val="21"/>
                <w:szCs w:val="21"/>
              </w:rPr>
            </w:pPr>
            <w:r>
              <w:rPr>
                <w:rFonts w:ascii="宋体" w:hAnsi="宋体" w:eastAsia="宋体" w:cs="宋体"/>
                <w:sz w:val="21"/>
                <w:szCs w:val="21"/>
              </w:rPr>
              <w:t>经办人联系电话：</w:t>
            </w:r>
          </w:p>
        </w:tc>
      </w:tr>
    </w:tbl>
    <w:p w14:paraId="2A779E90">
      <w:pPr>
        <w:spacing w:line="441" w:lineRule="exact"/>
        <w:ind w:left="1447"/>
        <w:rPr>
          <w:rFonts w:ascii="Microsoft JhengHei" w:hAnsi="Microsoft JhengHei" w:eastAsia="Microsoft JhengHei" w:cs="Microsoft JhengHei"/>
          <w:b/>
          <w:bCs/>
          <w:spacing w:val="-7"/>
          <w:sz w:val="28"/>
          <w:szCs w:val="28"/>
        </w:rPr>
      </w:pPr>
    </w:p>
    <w:p w14:paraId="3AE79B2B">
      <w:pPr>
        <w:spacing w:line="441" w:lineRule="exact"/>
        <w:ind w:left="1447"/>
        <w:rPr>
          <w:rFonts w:hint="eastAsia" w:ascii="Microsoft JhengHei" w:hAnsi="Microsoft JhengHei" w:eastAsia="Microsoft JhengHei" w:cs="Microsoft JhengHei"/>
          <w:sz w:val="28"/>
          <w:szCs w:val="28"/>
        </w:rPr>
      </w:pPr>
      <w:r>
        <w:rPr>
          <w:rFonts w:ascii="Microsoft JhengHei" w:hAnsi="Microsoft JhengHei" w:eastAsia="Microsoft JhengHei" w:cs="Microsoft JhengHei"/>
          <w:b/>
          <w:bCs/>
          <w:spacing w:val="-7"/>
          <w:sz w:val="28"/>
          <w:szCs w:val="28"/>
        </w:rPr>
        <w:t>盐城师范学院本科生学分制管理办法（修订）（节选）</w:t>
      </w:r>
    </w:p>
    <w:p w14:paraId="62388AB9">
      <w:pPr>
        <w:pStyle w:val="2"/>
        <w:spacing w:before="33" w:line="307" w:lineRule="auto"/>
        <w:rPr>
          <w:rFonts w:hint="eastAsia"/>
          <w:lang w:eastAsia="zh-CN"/>
        </w:rPr>
      </w:pPr>
      <w:r>
        <w:rPr>
          <w:rFonts w:ascii="Microsoft JhengHei" w:hAnsi="Microsoft JhengHei" w:eastAsia="Microsoft JhengHei" w:cs="Microsoft JhengHei"/>
          <w:b/>
          <w:bCs/>
          <w:lang w:eastAsia="zh-CN"/>
        </w:rPr>
        <w:t>第二十九条</w:t>
      </w:r>
      <w:r>
        <w:rPr>
          <w:rFonts w:ascii="Microsoft JhengHei" w:hAnsi="Microsoft JhengHei" w:eastAsia="Microsoft JhengHei" w:cs="Microsoft JhengHei"/>
          <w:b/>
          <w:bCs/>
          <w:spacing w:val="9"/>
          <w:lang w:eastAsia="zh-CN"/>
        </w:rPr>
        <w:t xml:space="preserve"> </w:t>
      </w:r>
      <w:r>
        <w:rPr>
          <w:lang w:eastAsia="zh-CN"/>
        </w:rPr>
        <w:t>学业预警分为三个等级：黄色预警、橙色预警、红色预警，各等级对应 情况见下表：</w:t>
      </w:r>
    </w:p>
    <w:tbl>
      <w:tblPr>
        <w:tblStyle w:val="9"/>
        <w:tblW w:w="5000" w:type="pct"/>
        <w:tblInd w:w="0" w:type="dxa"/>
        <w:tblLayout w:type="autofit"/>
        <w:tblCellMar>
          <w:top w:w="0" w:type="dxa"/>
          <w:left w:w="0" w:type="dxa"/>
          <w:bottom w:w="0" w:type="dxa"/>
          <w:right w:w="0" w:type="dxa"/>
        </w:tblCellMar>
      </w:tblPr>
      <w:tblGrid>
        <w:gridCol w:w="1023"/>
        <w:gridCol w:w="7293"/>
      </w:tblGrid>
      <w:tr w14:paraId="6B82B9E4">
        <w:tblPrEx>
          <w:tblCellMar>
            <w:top w:w="0" w:type="dxa"/>
            <w:left w:w="0" w:type="dxa"/>
            <w:bottom w:w="0" w:type="dxa"/>
            <w:right w:w="0" w:type="dxa"/>
          </w:tblCellMar>
        </w:tblPrEx>
        <w:trPr>
          <w:trHeight w:val="930" w:hRule="exact"/>
        </w:trPr>
        <w:tc>
          <w:tcPr>
            <w:tcW w:w="615" w:type="pct"/>
            <w:tcBorders>
              <w:top w:val="single" w:color="000000" w:sz="4" w:space="0"/>
              <w:left w:val="single" w:color="000000" w:sz="4" w:space="0"/>
              <w:bottom w:val="single" w:color="000000" w:sz="4" w:space="0"/>
              <w:right w:val="single" w:color="000000" w:sz="4" w:space="0"/>
            </w:tcBorders>
          </w:tcPr>
          <w:p w14:paraId="2E2ECDB3">
            <w:pPr>
              <w:pStyle w:val="11"/>
              <w:spacing w:before="9"/>
              <w:rPr>
                <w:rFonts w:hint="eastAsia" w:ascii="宋体" w:hAnsi="宋体" w:eastAsia="宋体" w:cs="宋体"/>
                <w:sz w:val="23"/>
                <w:szCs w:val="23"/>
                <w:lang w:eastAsia="zh-CN"/>
              </w:rPr>
            </w:pPr>
          </w:p>
          <w:p w14:paraId="5496147B">
            <w:pPr>
              <w:pStyle w:val="11"/>
              <w:ind w:left="103"/>
              <w:rPr>
                <w:rFonts w:hint="eastAsia" w:ascii="宋体" w:hAnsi="宋体" w:eastAsia="宋体" w:cs="宋体"/>
                <w:sz w:val="24"/>
                <w:szCs w:val="24"/>
              </w:rPr>
            </w:pPr>
            <w:r>
              <w:rPr>
                <w:rFonts w:ascii="宋体" w:hAnsi="宋体" w:eastAsia="宋体" w:cs="宋体"/>
                <w:sz w:val="24"/>
                <w:szCs w:val="24"/>
              </w:rPr>
              <w:t>预警级别</w:t>
            </w:r>
          </w:p>
        </w:tc>
        <w:tc>
          <w:tcPr>
            <w:tcW w:w="4385" w:type="pct"/>
            <w:tcBorders>
              <w:top w:val="single" w:color="000000" w:sz="4" w:space="0"/>
              <w:left w:val="single" w:color="000000" w:sz="4" w:space="0"/>
              <w:bottom w:val="single" w:color="000000" w:sz="4" w:space="0"/>
              <w:right w:val="single" w:color="000000" w:sz="4" w:space="0"/>
            </w:tcBorders>
          </w:tcPr>
          <w:p w14:paraId="1C9CA554">
            <w:pPr>
              <w:pStyle w:val="11"/>
              <w:spacing w:before="79"/>
              <w:ind w:right="97"/>
              <w:jc w:val="center"/>
              <w:rPr>
                <w:rFonts w:hint="eastAsia" w:ascii="宋体" w:hAnsi="宋体" w:eastAsia="宋体" w:cs="宋体"/>
                <w:sz w:val="24"/>
                <w:szCs w:val="24"/>
                <w:lang w:eastAsia="zh-CN"/>
              </w:rPr>
            </w:pPr>
            <w:r>
              <w:rPr>
                <w:rFonts w:ascii="宋体" w:hAnsi="宋体" w:eastAsia="宋体" w:cs="宋体"/>
                <w:sz w:val="24"/>
                <w:szCs w:val="24"/>
                <w:lang w:eastAsia="zh-CN"/>
              </w:rPr>
              <w:t>凡有下列情形之一的，即给予相应学业预警</w:t>
            </w:r>
          </w:p>
          <w:p w14:paraId="407F378C">
            <w:pPr>
              <w:pStyle w:val="11"/>
              <w:spacing w:before="146"/>
              <w:ind w:right="97"/>
              <w:jc w:val="center"/>
              <w:rPr>
                <w:rFonts w:hint="eastAsia" w:ascii="宋体" w:hAnsi="宋体" w:eastAsia="宋体" w:cs="宋体"/>
                <w:sz w:val="24"/>
                <w:szCs w:val="24"/>
                <w:lang w:eastAsia="zh-CN"/>
              </w:rPr>
            </w:pPr>
            <w:r>
              <w:rPr>
                <w:rFonts w:ascii="宋体" w:hAnsi="宋体" w:eastAsia="宋体" w:cs="宋体"/>
                <w:sz w:val="24"/>
                <w:szCs w:val="24"/>
                <w:lang w:eastAsia="zh-CN"/>
              </w:rPr>
              <w:t>（第</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8</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学期结束不再预警）</w:t>
            </w:r>
          </w:p>
        </w:tc>
      </w:tr>
      <w:tr w14:paraId="05027E80">
        <w:tblPrEx>
          <w:tblCellMar>
            <w:top w:w="0" w:type="dxa"/>
            <w:left w:w="0" w:type="dxa"/>
            <w:bottom w:w="0" w:type="dxa"/>
            <w:right w:w="0" w:type="dxa"/>
          </w:tblCellMar>
        </w:tblPrEx>
        <w:trPr>
          <w:trHeight w:val="470" w:hRule="exact"/>
        </w:trPr>
        <w:tc>
          <w:tcPr>
            <w:tcW w:w="615" w:type="pct"/>
            <w:vMerge w:val="restart"/>
            <w:tcBorders>
              <w:top w:val="single" w:color="000000" w:sz="4" w:space="0"/>
              <w:left w:val="single" w:color="000000" w:sz="4" w:space="0"/>
              <w:right w:val="single" w:color="000000" w:sz="4" w:space="0"/>
            </w:tcBorders>
          </w:tcPr>
          <w:p w14:paraId="11225D56">
            <w:pPr>
              <w:pStyle w:val="11"/>
              <w:spacing w:before="2"/>
              <w:rPr>
                <w:rFonts w:hint="eastAsia" w:ascii="宋体" w:hAnsi="宋体" w:eastAsia="宋体" w:cs="宋体"/>
                <w:sz w:val="24"/>
                <w:szCs w:val="24"/>
                <w:lang w:eastAsia="zh-CN"/>
              </w:rPr>
            </w:pPr>
          </w:p>
          <w:p w14:paraId="6E63694E">
            <w:pPr>
              <w:pStyle w:val="11"/>
              <w:ind w:left="86"/>
              <w:rPr>
                <w:rFonts w:hint="eastAsia" w:ascii="宋体" w:hAnsi="宋体" w:eastAsia="宋体" w:cs="宋体"/>
                <w:sz w:val="24"/>
                <w:szCs w:val="24"/>
              </w:rPr>
            </w:pPr>
            <w:r>
              <w:rPr>
                <w:rFonts w:ascii="宋体" w:hAnsi="宋体" w:eastAsia="宋体" w:cs="宋体"/>
                <w:sz w:val="24"/>
                <w:szCs w:val="24"/>
              </w:rPr>
              <w:t>黄色预警</w:t>
            </w:r>
          </w:p>
        </w:tc>
        <w:tc>
          <w:tcPr>
            <w:tcW w:w="4385" w:type="pct"/>
            <w:tcBorders>
              <w:top w:val="single" w:color="000000" w:sz="4" w:space="0"/>
              <w:left w:val="single" w:color="000000" w:sz="4" w:space="0"/>
              <w:bottom w:val="single" w:color="000000" w:sz="4" w:space="0"/>
              <w:right w:val="single" w:color="000000" w:sz="4" w:space="0"/>
            </w:tcBorders>
          </w:tcPr>
          <w:p w14:paraId="76CBD6F5">
            <w:pPr>
              <w:pStyle w:val="11"/>
              <w:spacing w:before="80"/>
              <w:ind w:left="102"/>
              <w:rPr>
                <w:rFonts w:hint="eastAsia" w:ascii="宋体" w:hAnsi="宋体" w:eastAsia="宋体" w:cs="宋体"/>
                <w:sz w:val="24"/>
                <w:szCs w:val="24"/>
                <w:lang w:eastAsia="zh-CN"/>
              </w:rPr>
            </w:pPr>
            <w:r>
              <w:rPr>
                <w:rFonts w:ascii="宋体" w:hAnsi="宋体" w:eastAsia="宋体" w:cs="宋体"/>
                <w:sz w:val="24"/>
                <w:szCs w:val="24"/>
                <w:lang w:eastAsia="zh-CN"/>
              </w:rPr>
              <w:t>一学期内考核未通过课程学分数累计达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5～9.5</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且不及格课程门数≥2</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门。</w:t>
            </w:r>
          </w:p>
        </w:tc>
      </w:tr>
      <w:tr w14:paraId="78B730AA">
        <w:tblPrEx>
          <w:tblCellMar>
            <w:top w:w="0" w:type="dxa"/>
            <w:left w:w="0" w:type="dxa"/>
            <w:bottom w:w="0" w:type="dxa"/>
            <w:right w:w="0" w:type="dxa"/>
          </w:tblCellMar>
        </w:tblPrEx>
        <w:trPr>
          <w:trHeight w:val="470" w:hRule="exact"/>
        </w:trPr>
        <w:tc>
          <w:tcPr>
            <w:tcW w:w="615" w:type="pct"/>
            <w:vMerge w:val="continue"/>
            <w:tcBorders>
              <w:left w:val="single" w:color="000000" w:sz="4" w:space="0"/>
              <w:bottom w:val="single" w:color="000000" w:sz="4" w:space="0"/>
              <w:right w:val="single" w:color="000000" w:sz="4" w:space="0"/>
            </w:tcBorders>
          </w:tcPr>
          <w:p w14:paraId="4BBBB3F7">
            <w:pPr>
              <w:rPr>
                <w:kern w:val="0"/>
                <w:sz w:val="22"/>
                <w:lang w:eastAsia="zh-CN"/>
              </w:rPr>
            </w:pPr>
          </w:p>
        </w:tc>
        <w:tc>
          <w:tcPr>
            <w:tcW w:w="4385" w:type="pct"/>
            <w:tcBorders>
              <w:top w:val="single" w:color="000000" w:sz="4" w:space="0"/>
              <w:left w:val="single" w:color="000000" w:sz="4" w:space="0"/>
              <w:bottom w:val="single" w:color="000000" w:sz="4" w:space="0"/>
              <w:right w:val="single" w:color="000000" w:sz="4" w:space="0"/>
            </w:tcBorders>
          </w:tcPr>
          <w:p w14:paraId="7AF3DECC">
            <w:pPr>
              <w:pStyle w:val="11"/>
              <w:spacing w:before="78"/>
              <w:ind w:left="102"/>
              <w:rPr>
                <w:rFonts w:hint="eastAsia" w:ascii="宋体" w:hAnsi="宋体" w:eastAsia="宋体" w:cs="宋体"/>
                <w:sz w:val="24"/>
                <w:szCs w:val="24"/>
                <w:lang w:eastAsia="zh-CN"/>
              </w:rPr>
            </w:pPr>
            <w:r>
              <w:rPr>
                <w:rFonts w:ascii="宋体" w:hAnsi="宋体" w:eastAsia="宋体" w:cs="宋体"/>
                <w:sz w:val="24"/>
                <w:szCs w:val="24"/>
                <w:lang w:eastAsia="zh-CN"/>
              </w:rPr>
              <w:t>各学期考核未通过课程学分数累计达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10～19.5。</w:t>
            </w:r>
          </w:p>
        </w:tc>
      </w:tr>
      <w:tr w14:paraId="650E6277">
        <w:tblPrEx>
          <w:tblCellMar>
            <w:top w:w="0" w:type="dxa"/>
            <w:left w:w="0" w:type="dxa"/>
            <w:bottom w:w="0" w:type="dxa"/>
            <w:right w:w="0" w:type="dxa"/>
          </w:tblCellMar>
        </w:tblPrEx>
        <w:trPr>
          <w:trHeight w:val="470" w:hRule="exact"/>
        </w:trPr>
        <w:tc>
          <w:tcPr>
            <w:tcW w:w="615" w:type="pct"/>
            <w:vMerge w:val="restart"/>
            <w:tcBorders>
              <w:top w:val="single" w:color="000000" w:sz="4" w:space="0"/>
              <w:left w:val="single" w:color="000000" w:sz="4" w:space="0"/>
              <w:right w:val="single" w:color="000000" w:sz="4" w:space="0"/>
            </w:tcBorders>
          </w:tcPr>
          <w:p w14:paraId="26D2F401">
            <w:pPr>
              <w:pStyle w:val="11"/>
              <w:rPr>
                <w:rFonts w:hint="eastAsia" w:ascii="宋体" w:hAnsi="宋体" w:eastAsia="宋体" w:cs="宋体"/>
                <w:sz w:val="24"/>
                <w:szCs w:val="24"/>
                <w:lang w:eastAsia="zh-CN"/>
              </w:rPr>
            </w:pPr>
          </w:p>
          <w:p w14:paraId="05E782CA">
            <w:pPr>
              <w:pStyle w:val="11"/>
              <w:ind w:left="134"/>
              <w:rPr>
                <w:rFonts w:hint="eastAsia" w:ascii="宋体" w:hAnsi="宋体" w:eastAsia="宋体" w:cs="宋体"/>
                <w:sz w:val="24"/>
                <w:szCs w:val="24"/>
              </w:rPr>
            </w:pPr>
            <w:r>
              <w:rPr>
                <w:rFonts w:ascii="宋体" w:hAnsi="宋体" w:eastAsia="宋体" w:cs="宋体"/>
                <w:sz w:val="24"/>
                <w:szCs w:val="24"/>
              </w:rPr>
              <w:t>橙色预警</w:t>
            </w:r>
          </w:p>
        </w:tc>
        <w:tc>
          <w:tcPr>
            <w:tcW w:w="4385" w:type="pct"/>
            <w:tcBorders>
              <w:top w:val="single" w:color="000000" w:sz="4" w:space="0"/>
              <w:left w:val="single" w:color="000000" w:sz="4" w:space="0"/>
              <w:bottom w:val="single" w:color="000000" w:sz="4" w:space="0"/>
              <w:right w:val="single" w:color="000000" w:sz="4" w:space="0"/>
            </w:tcBorders>
          </w:tcPr>
          <w:p w14:paraId="1D912A3F">
            <w:pPr>
              <w:pStyle w:val="11"/>
              <w:spacing w:before="79"/>
              <w:ind w:left="102" w:right="-13"/>
              <w:rPr>
                <w:rFonts w:hint="eastAsia" w:ascii="宋体" w:hAnsi="宋体" w:eastAsia="宋体" w:cs="宋体"/>
                <w:sz w:val="24"/>
                <w:szCs w:val="24"/>
                <w:lang w:eastAsia="zh-CN"/>
              </w:rPr>
            </w:pPr>
            <w:r>
              <w:rPr>
                <w:rFonts w:ascii="宋体" w:hAnsi="宋体" w:eastAsia="宋体" w:cs="宋体"/>
                <w:sz w:val="24"/>
                <w:szCs w:val="24"/>
                <w:lang w:eastAsia="zh-CN"/>
              </w:rPr>
              <w:t>一学期内考核未通过课程学分数累计达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10～14.5</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且不及格课程门数≥4</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门。</w:t>
            </w:r>
          </w:p>
        </w:tc>
      </w:tr>
      <w:tr w14:paraId="1E9498F3">
        <w:tblPrEx>
          <w:tblCellMar>
            <w:top w:w="0" w:type="dxa"/>
            <w:left w:w="0" w:type="dxa"/>
            <w:bottom w:w="0" w:type="dxa"/>
            <w:right w:w="0" w:type="dxa"/>
          </w:tblCellMar>
        </w:tblPrEx>
        <w:trPr>
          <w:trHeight w:val="470" w:hRule="exact"/>
        </w:trPr>
        <w:tc>
          <w:tcPr>
            <w:tcW w:w="615" w:type="pct"/>
            <w:vMerge w:val="continue"/>
            <w:tcBorders>
              <w:left w:val="single" w:color="000000" w:sz="4" w:space="0"/>
              <w:bottom w:val="single" w:color="000000" w:sz="4" w:space="0"/>
              <w:right w:val="single" w:color="000000" w:sz="4" w:space="0"/>
            </w:tcBorders>
          </w:tcPr>
          <w:p w14:paraId="73E4562E">
            <w:pPr>
              <w:rPr>
                <w:kern w:val="0"/>
                <w:sz w:val="22"/>
                <w:lang w:eastAsia="zh-CN"/>
              </w:rPr>
            </w:pPr>
          </w:p>
        </w:tc>
        <w:tc>
          <w:tcPr>
            <w:tcW w:w="4385" w:type="pct"/>
            <w:tcBorders>
              <w:top w:val="single" w:color="000000" w:sz="4" w:space="0"/>
              <w:left w:val="single" w:color="000000" w:sz="4" w:space="0"/>
              <w:bottom w:val="single" w:color="000000" w:sz="4" w:space="0"/>
              <w:right w:val="single" w:color="000000" w:sz="4" w:space="0"/>
            </w:tcBorders>
          </w:tcPr>
          <w:p w14:paraId="19CB1295">
            <w:pPr>
              <w:pStyle w:val="11"/>
              <w:spacing w:before="79"/>
              <w:ind w:left="102"/>
              <w:rPr>
                <w:rFonts w:hint="eastAsia" w:ascii="宋体" w:hAnsi="宋体" w:eastAsia="宋体" w:cs="宋体"/>
                <w:sz w:val="24"/>
                <w:szCs w:val="24"/>
                <w:lang w:eastAsia="zh-CN"/>
              </w:rPr>
            </w:pPr>
            <w:r>
              <w:rPr>
                <w:rFonts w:ascii="宋体" w:hAnsi="宋体" w:eastAsia="宋体" w:cs="宋体"/>
                <w:sz w:val="24"/>
                <w:szCs w:val="24"/>
                <w:lang w:eastAsia="zh-CN"/>
              </w:rPr>
              <w:t>各学期考核未通过课程学分数累计达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20～39.5。</w:t>
            </w:r>
          </w:p>
        </w:tc>
      </w:tr>
      <w:tr w14:paraId="70A6FD66">
        <w:tblPrEx>
          <w:tblCellMar>
            <w:top w:w="0" w:type="dxa"/>
            <w:left w:w="0" w:type="dxa"/>
            <w:bottom w:w="0" w:type="dxa"/>
            <w:right w:w="0" w:type="dxa"/>
          </w:tblCellMar>
        </w:tblPrEx>
        <w:trPr>
          <w:trHeight w:val="470" w:hRule="exact"/>
        </w:trPr>
        <w:tc>
          <w:tcPr>
            <w:tcW w:w="615" w:type="pct"/>
            <w:vMerge w:val="restart"/>
            <w:tcBorders>
              <w:top w:val="single" w:color="000000" w:sz="4" w:space="0"/>
              <w:left w:val="single" w:color="000000" w:sz="4" w:space="0"/>
              <w:right w:val="single" w:color="000000" w:sz="4" w:space="0"/>
            </w:tcBorders>
          </w:tcPr>
          <w:p w14:paraId="45BC6C4E">
            <w:pPr>
              <w:pStyle w:val="11"/>
              <w:spacing w:before="1"/>
              <w:rPr>
                <w:rFonts w:hint="eastAsia" w:ascii="宋体" w:hAnsi="宋体" w:eastAsia="宋体" w:cs="宋体"/>
                <w:sz w:val="24"/>
                <w:szCs w:val="24"/>
                <w:lang w:eastAsia="zh-CN"/>
              </w:rPr>
            </w:pPr>
          </w:p>
          <w:p w14:paraId="6893D7DB">
            <w:pPr>
              <w:pStyle w:val="11"/>
              <w:ind w:left="134"/>
              <w:rPr>
                <w:rFonts w:hint="eastAsia" w:ascii="宋体" w:hAnsi="宋体" w:eastAsia="宋体" w:cs="宋体"/>
                <w:sz w:val="24"/>
                <w:szCs w:val="24"/>
              </w:rPr>
            </w:pPr>
            <w:r>
              <w:rPr>
                <w:rFonts w:ascii="宋体" w:hAnsi="宋体" w:eastAsia="宋体" w:cs="宋体"/>
                <w:sz w:val="24"/>
                <w:szCs w:val="24"/>
              </w:rPr>
              <w:t>红色预警</w:t>
            </w:r>
          </w:p>
        </w:tc>
        <w:tc>
          <w:tcPr>
            <w:tcW w:w="4385" w:type="pct"/>
            <w:tcBorders>
              <w:top w:val="single" w:color="000000" w:sz="4" w:space="0"/>
              <w:left w:val="single" w:color="000000" w:sz="4" w:space="0"/>
              <w:bottom w:val="single" w:color="000000" w:sz="4" w:space="0"/>
              <w:right w:val="single" w:color="000000" w:sz="4" w:space="0"/>
            </w:tcBorders>
          </w:tcPr>
          <w:p w14:paraId="0ACCDF81">
            <w:pPr>
              <w:pStyle w:val="11"/>
              <w:spacing w:before="80"/>
              <w:ind w:left="102"/>
              <w:rPr>
                <w:rFonts w:hint="eastAsia" w:ascii="宋体" w:hAnsi="宋体" w:eastAsia="宋体" w:cs="宋体"/>
                <w:sz w:val="24"/>
                <w:szCs w:val="24"/>
                <w:lang w:eastAsia="zh-CN"/>
              </w:rPr>
            </w:pPr>
            <w:r>
              <w:rPr>
                <w:rFonts w:ascii="宋体" w:hAnsi="宋体" w:eastAsia="宋体" w:cs="宋体"/>
                <w:sz w:val="24"/>
                <w:szCs w:val="24"/>
                <w:lang w:eastAsia="zh-CN"/>
              </w:rPr>
              <w:t>一学期内考核未通过课程学分数累计达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15（含）以上。</w:t>
            </w:r>
          </w:p>
        </w:tc>
      </w:tr>
      <w:tr w14:paraId="118F2697">
        <w:tblPrEx>
          <w:tblCellMar>
            <w:top w:w="0" w:type="dxa"/>
            <w:left w:w="0" w:type="dxa"/>
            <w:bottom w:w="0" w:type="dxa"/>
            <w:right w:w="0" w:type="dxa"/>
          </w:tblCellMar>
        </w:tblPrEx>
        <w:trPr>
          <w:trHeight w:val="470" w:hRule="exact"/>
        </w:trPr>
        <w:tc>
          <w:tcPr>
            <w:tcW w:w="615" w:type="pct"/>
            <w:vMerge w:val="continue"/>
            <w:tcBorders>
              <w:left w:val="single" w:color="000000" w:sz="4" w:space="0"/>
              <w:bottom w:val="single" w:color="000000" w:sz="4" w:space="0"/>
              <w:right w:val="single" w:color="000000" w:sz="4" w:space="0"/>
            </w:tcBorders>
          </w:tcPr>
          <w:p w14:paraId="51543255">
            <w:pPr>
              <w:rPr>
                <w:kern w:val="0"/>
                <w:sz w:val="22"/>
                <w:lang w:eastAsia="zh-CN"/>
              </w:rPr>
            </w:pPr>
          </w:p>
        </w:tc>
        <w:tc>
          <w:tcPr>
            <w:tcW w:w="4385" w:type="pct"/>
            <w:tcBorders>
              <w:top w:val="single" w:color="000000" w:sz="4" w:space="0"/>
              <w:left w:val="single" w:color="000000" w:sz="4" w:space="0"/>
              <w:bottom w:val="single" w:color="000000" w:sz="4" w:space="0"/>
              <w:right w:val="single" w:color="000000" w:sz="4" w:space="0"/>
            </w:tcBorders>
          </w:tcPr>
          <w:p w14:paraId="261BBF85">
            <w:pPr>
              <w:pStyle w:val="11"/>
              <w:spacing w:before="80"/>
              <w:ind w:left="102"/>
              <w:rPr>
                <w:rFonts w:hint="eastAsia" w:ascii="宋体" w:hAnsi="宋体" w:eastAsia="宋体" w:cs="宋体"/>
                <w:sz w:val="24"/>
                <w:szCs w:val="24"/>
                <w:lang w:eastAsia="zh-CN"/>
              </w:rPr>
            </w:pPr>
            <w:r>
              <w:rPr>
                <w:rFonts w:ascii="宋体" w:hAnsi="宋体" w:eastAsia="宋体" w:cs="宋体"/>
                <w:sz w:val="24"/>
                <w:szCs w:val="24"/>
                <w:lang w:eastAsia="zh-CN"/>
              </w:rPr>
              <w:t>各学期考核未通过课程学分数累计达</w:t>
            </w:r>
            <w:r>
              <w:rPr>
                <w:rFonts w:ascii="宋体" w:hAnsi="宋体" w:eastAsia="宋体" w:cs="宋体"/>
                <w:spacing w:val="-60"/>
                <w:sz w:val="24"/>
                <w:szCs w:val="24"/>
                <w:lang w:eastAsia="zh-CN"/>
              </w:rPr>
              <w:t xml:space="preserve"> </w:t>
            </w:r>
            <w:r>
              <w:rPr>
                <w:rFonts w:ascii="宋体" w:hAnsi="宋体" w:eastAsia="宋体" w:cs="宋体"/>
                <w:sz w:val="24"/>
                <w:szCs w:val="24"/>
                <w:lang w:eastAsia="zh-CN"/>
              </w:rPr>
              <w:t>40（含）以上。</w:t>
            </w:r>
          </w:p>
        </w:tc>
      </w:tr>
    </w:tbl>
    <w:p w14:paraId="3BC81718">
      <w:pPr>
        <w:pStyle w:val="2"/>
        <w:spacing w:line="360" w:lineRule="auto"/>
        <w:ind w:left="0"/>
        <w:jc w:val="both"/>
        <w:rPr>
          <w:rFonts w:hint="eastAsia"/>
          <w:lang w:eastAsia="zh-CN"/>
        </w:rPr>
      </w:pPr>
      <w:r>
        <w:rPr>
          <w:lang w:eastAsia="zh-CN"/>
        </w:rPr>
        <w:t>通识类任选课程（校选修课）不列入学业预警未通过课程学分统计范围内；如学生 同时受到两个级别学业预警，则按高一级处理。</w:t>
      </w:r>
    </w:p>
    <w:p w14:paraId="062ABBF4">
      <w:pPr>
        <w:pStyle w:val="2"/>
        <w:spacing w:line="360" w:lineRule="auto"/>
        <w:ind w:left="0"/>
        <w:jc w:val="both"/>
        <w:rPr>
          <w:rFonts w:hint="eastAsia"/>
          <w:lang w:eastAsia="zh-CN"/>
        </w:rPr>
      </w:pPr>
      <w:r>
        <w:rPr>
          <w:rFonts w:ascii="Microsoft JhengHei" w:hAnsi="Microsoft JhengHei" w:eastAsia="Microsoft JhengHei" w:cs="Microsoft JhengHei"/>
          <w:b/>
          <w:bCs/>
          <w:lang w:eastAsia="zh-CN"/>
        </w:rPr>
        <w:t xml:space="preserve">第三十一条 </w:t>
      </w:r>
      <w:r>
        <w:rPr>
          <w:rFonts w:ascii="Microsoft JhengHei" w:hAnsi="Microsoft JhengHei" w:eastAsia="Microsoft JhengHei" w:cs="Microsoft JhengHei"/>
          <w:b/>
          <w:bCs/>
          <w:spacing w:val="33"/>
          <w:lang w:eastAsia="zh-CN"/>
        </w:rPr>
        <w:t xml:space="preserve"> </w:t>
      </w:r>
      <w:r>
        <w:rPr>
          <w:spacing w:val="-3"/>
          <w:lang w:eastAsia="zh-CN"/>
        </w:rPr>
        <w:t>受到两次黄色预警者，按橙色预警处理。受到橙色预警的学生编入下一</w:t>
      </w:r>
      <w:r>
        <w:rPr>
          <w:lang w:eastAsia="zh-CN"/>
        </w:rPr>
        <w:t>年级学习。学生在校期间受到红色预警</w:t>
      </w:r>
      <w:r>
        <w:rPr>
          <w:spacing w:val="-60"/>
          <w:lang w:eastAsia="zh-CN"/>
        </w:rPr>
        <w:t xml:space="preserve"> </w:t>
      </w:r>
      <w:r>
        <w:rPr>
          <w:lang w:eastAsia="zh-CN"/>
        </w:rPr>
        <w:t>1</w:t>
      </w:r>
      <w:r>
        <w:rPr>
          <w:spacing w:val="-60"/>
          <w:lang w:eastAsia="zh-CN"/>
        </w:rPr>
        <w:t xml:space="preserve"> </w:t>
      </w:r>
      <w:r>
        <w:rPr>
          <w:lang w:eastAsia="zh-CN"/>
        </w:rPr>
        <w:t>次或橙色预警达</w:t>
      </w:r>
      <w:r>
        <w:rPr>
          <w:spacing w:val="-60"/>
          <w:lang w:eastAsia="zh-CN"/>
        </w:rPr>
        <w:t xml:space="preserve"> </w:t>
      </w:r>
      <w:r>
        <w:rPr>
          <w:lang w:eastAsia="zh-CN"/>
        </w:rPr>
        <w:t>2</w:t>
      </w:r>
      <w:r>
        <w:rPr>
          <w:spacing w:val="-60"/>
          <w:lang w:eastAsia="zh-CN"/>
        </w:rPr>
        <w:t xml:space="preserve"> </w:t>
      </w:r>
      <w:r>
        <w:rPr>
          <w:lang w:eastAsia="zh-CN"/>
        </w:rPr>
        <w:t>次者，对于学习意愿强烈的 学生，允许其申请为期一学期的退学试读，经学生本人及其家长共同签署《退学试读承 诺书》后，由学生所在学院研究通过后，报教务处批准执行；对于接到退学预通知后一</w:t>
      </w:r>
      <w:r>
        <w:rPr>
          <w:spacing w:val="-2"/>
          <w:lang w:eastAsia="zh-CN"/>
        </w:rPr>
        <w:t>周内未提出退学试读申请或申请未获批准的学生，将按照《盐城师范学院学生管理规定》</w:t>
      </w:r>
      <w:r>
        <w:rPr>
          <w:spacing w:val="-100"/>
          <w:lang w:eastAsia="zh-CN"/>
        </w:rPr>
        <w:t xml:space="preserve"> </w:t>
      </w:r>
      <w:r>
        <w:rPr>
          <w:lang w:eastAsia="zh-CN"/>
        </w:rPr>
        <w:t>作退学处理，由校长办公会议研究通过后执行。试读学期获得课程学分少于</w:t>
      </w:r>
      <w:r>
        <w:rPr>
          <w:spacing w:val="-60"/>
          <w:lang w:eastAsia="zh-CN"/>
        </w:rPr>
        <w:t xml:space="preserve"> </w:t>
      </w:r>
      <w:r>
        <w:rPr>
          <w:lang w:eastAsia="zh-CN"/>
        </w:rPr>
        <w:t>15</w:t>
      </w:r>
      <w:r>
        <w:rPr>
          <w:spacing w:val="-60"/>
          <w:lang w:eastAsia="zh-CN"/>
        </w:rPr>
        <w:t xml:space="preserve"> </w:t>
      </w:r>
      <w:r>
        <w:rPr>
          <w:lang w:eastAsia="zh-CN"/>
        </w:rPr>
        <w:t>学分者， 将直接予以退学处理；试读学期获得课程学分达</w:t>
      </w:r>
      <w:r>
        <w:rPr>
          <w:spacing w:val="-75"/>
          <w:lang w:eastAsia="zh-CN"/>
        </w:rPr>
        <w:t xml:space="preserve"> </w:t>
      </w:r>
      <w:r>
        <w:rPr>
          <w:lang w:eastAsia="zh-CN"/>
        </w:rPr>
        <w:t>15</w:t>
      </w:r>
      <w:r>
        <w:rPr>
          <w:spacing w:val="-75"/>
          <w:lang w:eastAsia="zh-CN"/>
        </w:rPr>
        <w:t xml:space="preserve"> </w:t>
      </w:r>
      <w:r>
        <w:rPr>
          <w:lang w:eastAsia="zh-CN"/>
        </w:rPr>
        <w:t>学分及以上者，允许其恢复正常学习阶段，此后如再次受到橙色预警或红色预警，将不再接受退学试读申请，直接作退学处理，由校长办公会议研究通过后执行。</w:t>
      </w:r>
    </w:p>
    <w:p w14:paraId="30793704">
      <w:pPr>
        <w:pStyle w:val="2"/>
        <w:spacing w:line="360" w:lineRule="auto"/>
        <w:ind w:left="0"/>
        <w:jc w:val="both"/>
        <w:rPr>
          <w:rFonts w:hint="eastAsia"/>
          <w:lang w:eastAsia="zh-CN"/>
        </w:rPr>
      </w:pPr>
      <w:r>
        <w:rPr>
          <w:rFonts w:ascii="Microsoft JhengHei" w:hAnsi="Microsoft JhengHei" w:eastAsia="Microsoft JhengHei" w:cs="Microsoft JhengHei"/>
          <w:b/>
          <w:bCs/>
          <w:lang w:eastAsia="zh-CN"/>
        </w:rPr>
        <w:t xml:space="preserve">第三十二条 </w:t>
      </w:r>
      <w:r>
        <w:rPr>
          <w:rFonts w:ascii="Microsoft JhengHei" w:hAnsi="Microsoft JhengHei" w:eastAsia="Microsoft JhengHei" w:cs="Microsoft JhengHei"/>
          <w:b/>
          <w:bCs/>
          <w:spacing w:val="1"/>
          <w:lang w:eastAsia="zh-CN"/>
        </w:rPr>
        <w:t xml:space="preserve"> </w:t>
      </w:r>
      <w:r>
        <w:rPr>
          <w:lang w:eastAsia="zh-CN"/>
        </w:rPr>
        <w:t>对来自特定生源地的学生以及高考时通过预科计划被我校录取的学生，学业预警标准分别降低一档，即橙色预警的标准视作黄色预警，红色预警的标准视作橙 色预警，不设红色预警。</w:t>
      </w:r>
      <w:r>
        <w:rPr>
          <w:spacing w:val="-2"/>
          <w:lang w:eastAsia="zh-CN"/>
        </w:rPr>
        <w:t>周内未提出退学试读申请或申请未获批准的学生，将按照《盐城师范学院学生管理规定》</w:t>
      </w:r>
      <w:r>
        <w:rPr>
          <w:spacing w:val="-100"/>
          <w:lang w:eastAsia="zh-CN"/>
        </w:rPr>
        <w:t xml:space="preserve"> </w:t>
      </w:r>
      <w:r>
        <w:rPr>
          <w:lang w:eastAsia="zh-CN"/>
        </w:rPr>
        <w:t>作退学处理，由校长办公会议研究通过后执行。试读学期获得课程学分少于</w:t>
      </w:r>
      <w:r>
        <w:rPr>
          <w:spacing w:val="-60"/>
          <w:lang w:eastAsia="zh-CN"/>
        </w:rPr>
        <w:t xml:space="preserve"> </w:t>
      </w:r>
      <w:r>
        <w:rPr>
          <w:lang w:eastAsia="zh-CN"/>
        </w:rPr>
        <w:t>15</w:t>
      </w:r>
      <w:r>
        <w:rPr>
          <w:spacing w:val="-60"/>
          <w:lang w:eastAsia="zh-CN"/>
        </w:rPr>
        <w:t xml:space="preserve"> </w:t>
      </w:r>
      <w:r>
        <w:rPr>
          <w:lang w:eastAsia="zh-CN"/>
        </w:rPr>
        <w:t>学分者， 将直接予以退学处理；试读学期获得课程学分达 15 学分及以上者，允许其恢复正常学习 阶段，此后如再次受到橙色预警或红色预警，将不再接受退学试读申请，直接作退学处 理，由校长办公会议研究通过后执行。</w:t>
      </w:r>
    </w:p>
    <w:p w14:paraId="354050D9">
      <w:pPr>
        <w:pStyle w:val="2"/>
        <w:spacing w:line="373" w:lineRule="exact"/>
        <w:ind w:left="118"/>
        <w:rPr>
          <w:rFonts w:hint="eastAsia"/>
          <w:lang w:eastAsia="zh-CN"/>
        </w:rPr>
      </w:pPr>
      <w:r>
        <w:rPr>
          <w:rFonts w:ascii="Microsoft JhengHei" w:hAnsi="Microsoft JhengHei" w:eastAsia="Microsoft JhengHei" w:cs="Microsoft JhengHei"/>
          <w:b/>
          <w:bCs/>
          <w:lang w:eastAsia="zh-CN"/>
        </w:rPr>
        <w:t>第三十二条</w:t>
      </w:r>
      <w:r>
        <w:rPr>
          <w:lang w:eastAsia="zh-CN"/>
        </w:rPr>
        <w:t xml:space="preserve">  对来自特定生源地的学生以及高考时通过预科计划被我校录取的学生，学业预警标准分别降低一档，即橙色预警的标准视作黄色预警，红色预警的标准视作橙 色预警，不设红色预警。</w:t>
      </w:r>
    </w:p>
    <w:p w14:paraId="7F6A57BD">
      <w:pPr>
        <w:spacing w:line="360" w:lineRule="auto"/>
        <w:ind w:right="480"/>
        <w:jc w:val="left"/>
        <w:rPr>
          <w:rFonts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A556">
    <w:pPr>
      <w:spacing w:line="14" w:lineRule="auto"/>
      <w:rPr>
        <w:sz w:val="20"/>
        <w:szCs w:val="20"/>
      </w:rPr>
    </w:pPr>
    <w:r>
      <w:rPr>
        <w:sz w:val="22"/>
      </w:rPr>
      <mc:AlternateContent>
        <mc:Choice Requires="wps">
          <w:drawing>
            <wp:anchor distT="0" distB="0" distL="114300" distR="114300" simplePos="0" relativeHeight="251659264" behindDoc="1" locked="0" layoutInCell="1" allowOverlap="1">
              <wp:simplePos x="0" y="0"/>
              <wp:positionH relativeFrom="page">
                <wp:posOffset>3761740</wp:posOffset>
              </wp:positionH>
              <wp:positionV relativeFrom="page">
                <wp:posOffset>9931400</wp:posOffset>
              </wp:positionV>
              <wp:extent cx="107950" cy="1397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wps:spPr>
                    <wps:txbx>
                      <w:txbxContent>
                        <w:p w14:paraId="2D8BCD56">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2pt;margin-top:782pt;height:11pt;width:8.5pt;mso-position-horizontal-relative:page;mso-position-vertical-relative:page;z-index:-251657216;mso-width-relative:page;mso-height-relative:page;" filled="f" stroked="f" coordsize="21600,21600" o:gfxdata="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6Yo7zaAAAADQEAAA8AAAAAAAAAAQAg&#10;AAAAIgAAAGRycy9kb3ducmV2LnhtbFBLAQIUABQAAAAIAIdO4kCVG+QHDAIAAAQEAAAOAAAAAAAA&#10;AAEAIAAAACkBAABkcnMvZTJvRG9jLnhtbFBLBQYAAAAABgAGAFkBAACnBQAAAAA=&#10;">
              <v:fill on="f" focussize="0,0"/>
              <v:stroke on="f"/>
              <v:imagedata o:title=""/>
              <o:lock v:ext="edit" aspectratio="f"/>
              <v:textbox inset="0mm,0mm,0mm,0mm">
                <w:txbxContent>
                  <w:p w14:paraId="2D8BCD56">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EE"/>
    <w:rsid w:val="00020A5B"/>
    <w:rsid w:val="00040795"/>
    <w:rsid w:val="0005359E"/>
    <w:rsid w:val="000A5450"/>
    <w:rsid w:val="000A66D5"/>
    <w:rsid w:val="0026686B"/>
    <w:rsid w:val="00272215"/>
    <w:rsid w:val="002B0260"/>
    <w:rsid w:val="002B188D"/>
    <w:rsid w:val="002E4648"/>
    <w:rsid w:val="002F09A6"/>
    <w:rsid w:val="002F16AC"/>
    <w:rsid w:val="00302847"/>
    <w:rsid w:val="0031744E"/>
    <w:rsid w:val="003415D1"/>
    <w:rsid w:val="00375258"/>
    <w:rsid w:val="003A09F8"/>
    <w:rsid w:val="003F1992"/>
    <w:rsid w:val="003F3996"/>
    <w:rsid w:val="004307CD"/>
    <w:rsid w:val="00467354"/>
    <w:rsid w:val="00490332"/>
    <w:rsid w:val="004E5A09"/>
    <w:rsid w:val="004F3A59"/>
    <w:rsid w:val="00505763"/>
    <w:rsid w:val="005237D9"/>
    <w:rsid w:val="0055224A"/>
    <w:rsid w:val="005C5357"/>
    <w:rsid w:val="006315F8"/>
    <w:rsid w:val="006B4E33"/>
    <w:rsid w:val="0072371D"/>
    <w:rsid w:val="007C42BE"/>
    <w:rsid w:val="008020E1"/>
    <w:rsid w:val="00890732"/>
    <w:rsid w:val="008A64FE"/>
    <w:rsid w:val="0093364B"/>
    <w:rsid w:val="009600C0"/>
    <w:rsid w:val="009E3748"/>
    <w:rsid w:val="009F3E43"/>
    <w:rsid w:val="00A01CBC"/>
    <w:rsid w:val="00A81AEE"/>
    <w:rsid w:val="00AB07AA"/>
    <w:rsid w:val="00B36235"/>
    <w:rsid w:val="00BC7AF9"/>
    <w:rsid w:val="00C02D54"/>
    <w:rsid w:val="00C72180"/>
    <w:rsid w:val="00D910E5"/>
    <w:rsid w:val="00DB2B48"/>
    <w:rsid w:val="00DC7F67"/>
    <w:rsid w:val="00E3010E"/>
    <w:rsid w:val="00E51493"/>
    <w:rsid w:val="00E64CA1"/>
    <w:rsid w:val="00EC1F9C"/>
    <w:rsid w:val="00EC26AC"/>
    <w:rsid w:val="00EF6E58"/>
    <w:rsid w:val="00F016DE"/>
    <w:rsid w:val="00F10AEE"/>
    <w:rsid w:val="00F14CD3"/>
    <w:rsid w:val="00FB6CA1"/>
    <w:rsid w:val="00FC68E8"/>
    <w:rsid w:val="00FD0E09"/>
    <w:rsid w:val="00FD4D86"/>
    <w:rsid w:val="00FE2D1A"/>
    <w:rsid w:val="03740480"/>
    <w:rsid w:val="29FF7B8E"/>
    <w:rsid w:val="31E4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ind w:left="158" w:firstLine="480"/>
      <w:jc w:val="left"/>
    </w:pPr>
    <w:rPr>
      <w:rFonts w:ascii="宋体" w:hAnsi="宋体" w:eastAsia="宋体"/>
      <w:kern w:val="0"/>
      <w:sz w:val="24"/>
      <w:szCs w:val="24"/>
      <w:lang w:eastAsia="en-US"/>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0">
    <w:name w:val="正文文本 字符"/>
    <w:basedOn w:val="6"/>
    <w:link w:val="2"/>
    <w:qFormat/>
    <w:uiPriority w:val="1"/>
    <w:rPr>
      <w:rFonts w:ascii="宋体" w:hAnsi="宋体" w:eastAsia="宋体"/>
      <w:kern w:val="0"/>
      <w:sz w:val="24"/>
      <w:szCs w:val="24"/>
      <w:lang w:eastAsia="en-US"/>
    </w:rPr>
  </w:style>
  <w:style w:type="paragraph" w:customStyle="1" w:styleId="11">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盐城师范学院</Company>
  <Pages>9</Pages>
  <Words>2997</Words>
  <Characters>3057</Characters>
  <Lines>156</Lines>
  <Paragraphs>138</Paragraphs>
  <TotalTime>4</TotalTime>
  <ScaleCrop>false</ScaleCrop>
  <LinksUpToDate>false</LinksUpToDate>
  <CharactersWithSpaces>3106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2025-11-27T11:52:00Z</dcterms:created>
  <dc:creator>Microsoft 帐户</dc:creator>
  <cp:lastModifiedBy>亦辰</cp:lastModifiedBy>
  <dcterms:modified xsi:type="dcterms:W3CDTF">2026-05-16T07:45:02Z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eyJoZGlkIjoiY2NiZjc2MDA0MjZiZjIzMGQ5MTE4YjIzYjgyZmMxNmUiLCJ1c2VySWQiOiI3OTIwNDA2NDQifQ==</vt:lpwstr>
  </property>
  <property fmtid="{D5CDD505-2E9C-101B-9397-08002B2CF9AE}" pid="3" name="KSOProductBuildVer">
    <vt:lpwstr>2052-12.1.0.25865</vt:lpwstr>
  </property>
  <property fmtid="{D5CDD505-2E9C-101B-9397-08002B2CF9AE}" pid="4" name="ICV">
    <vt:lpwstr>9378DFDF2BC846D3A9B44F371CB9FD50_13</vt:lpwstr>
  </property>
</Properties>
</file>