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1" w:lineRule="auto"/>
        <w:ind w:left="232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22"/>
          <w:sz w:val="22"/>
          <w:szCs w:val="22"/>
        </w:rPr>
        <w:t>全国大学生数学建模竞赛章程(2023年修订稿)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72" w:line="222" w:lineRule="auto"/>
        <w:ind w:left="398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8"/>
          <w:sz w:val="22"/>
          <w:szCs w:val="22"/>
        </w:rPr>
        <w:t>第一条总则</w:t>
      </w:r>
    </w:p>
    <w:p>
      <w:pPr>
        <w:pStyle w:val="4"/>
        <w:spacing w:before="58" w:line="244" w:lineRule="auto"/>
        <w:ind w:right="60" w:firstLine="449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全国大学生数学建模竞赛(以下简称竞赛)是中国工业与应用数学学会主办的</w:t>
      </w:r>
      <w:r>
        <w:rPr>
          <w:spacing w:val="-5"/>
          <w:sz w:val="22"/>
          <w:szCs w:val="22"/>
        </w:rPr>
        <w:t>面向全国大学生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的群众性科技活动，旨在激励学生学习数学的积极性，提高学生建立数学模型和运用计算机技术解</w:t>
      </w:r>
      <w:r>
        <w:rPr>
          <w:spacing w:val="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决实际问题的综合能力，鼓励广大学生踊跃参加课外科技活动，开拓知识面，培养创造精神及合作</w:t>
      </w:r>
      <w:r>
        <w:rPr>
          <w:spacing w:val="1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意识，推动大学数学教学体系、教学内容和方法的改革。</w:t>
      </w:r>
    </w:p>
    <w:p>
      <w:pPr>
        <w:spacing w:before="74" w:line="222" w:lineRule="auto"/>
        <w:ind w:left="377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1"/>
          <w:sz w:val="22"/>
          <w:szCs w:val="22"/>
        </w:rPr>
        <w:t>第二条竞赛内容</w:t>
      </w:r>
    </w:p>
    <w:p>
      <w:pPr>
        <w:pStyle w:val="4"/>
        <w:spacing w:before="58" w:line="252" w:lineRule="auto"/>
        <w:ind w:firstLine="449"/>
        <w:rPr>
          <w:sz w:val="22"/>
          <w:szCs w:val="22"/>
        </w:rPr>
      </w:pPr>
      <w:r>
        <w:rPr>
          <w:spacing w:val="-3"/>
          <w:sz w:val="22"/>
          <w:szCs w:val="22"/>
        </w:rPr>
        <w:t>竞赛题目一般来源于科学与工程技术、人文</w:t>
      </w:r>
      <w:r>
        <w:rPr>
          <w:spacing w:val="-4"/>
          <w:sz w:val="22"/>
          <w:szCs w:val="22"/>
        </w:rPr>
        <w:t>与社会科学(含经济管理)等领域经过适当简化加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工的实际问题，不要求参赛者预先掌握深入的专门知识，只需要学过高等学校的数学基础课程。题</w:t>
      </w:r>
      <w:r>
        <w:rPr>
          <w:spacing w:val="4"/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>目有较大的灵活性供参赛者发挥其创造能力。参赛者应根据题目要求，完成一篇包括模型的假</w:t>
      </w:r>
      <w:r>
        <w:rPr>
          <w:spacing w:val="-11"/>
          <w:sz w:val="22"/>
          <w:szCs w:val="22"/>
        </w:rPr>
        <w:t>设、</w:t>
      </w:r>
      <w:r>
        <w:rPr>
          <w:sz w:val="22"/>
          <w:szCs w:val="22"/>
        </w:rPr>
        <w:t xml:space="preserve">  </w:t>
      </w:r>
      <w:r>
        <w:rPr>
          <w:spacing w:val="-7"/>
          <w:sz w:val="22"/>
          <w:szCs w:val="22"/>
        </w:rPr>
        <w:t>建立和求解、计算方法的设计和计算机实现、结果的分析和检验、模型</w:t>
      </w:r>
      <w:r>
        <w:rPr>
          <w:spacing w:val="-8"/>
          <w:sz w:val="22"/>
          <w:szCs w:val="22"/>
        </w:rPr>
        <w:t>的改进等方面的论文(即答</w:t>
      </w:r>
      <w:r>
        <w:rPr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>卷)。竟赛评奖以假设的合理性、建模的创造性、结果的正确性和文字表述的清晰程度为主要标准。</w:t>
      </w:r>
    </w:p>
    <w:p>
      <w:pPr>
        <w:spacing w:before="55" w:line="222" w:lineRule="auto"/>
        <w:ind w:left="314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5"/>
          <w:sz w:val="22"/>
          <w:szCs w:val="22"/>
        </w:rPr>
        <w:t>第三条竞赛形式、规则和纪律</w:t>
      </w:r>
    </w:p>
    <w:p>
      <w:pPr>
        <w:pStyle w:val="4"/>
        <w:spacing w:before="59" w:line="219" w:lineRule="auto"/>
        <w:ind w:left="449"/>
        <w:rPr>
          <w:sz w:val="22"/>
          <w:szCs w:val="22"/>
        </w:rPr>
      </w:pPr>
      <w:r>
        <w:rPr>
          <w:spacing w:val="-10"/>
          <w:sz w:val="22"/>
          <w:szCs w:val="22"/>
        </w:rPr>
        <w:t>1. 竞赛每年举办一次，全国统一竞赛题目，采取通讯竞赛方式。</w:t>
      </w:r>
    </w:p>
    <w:p>
      <w:pPr>
        <w:pStyle w:val="4"/>
        <w:spacing w:before="49" w:line="244" w:lineRule="auto"/>
        <w:ind w:firstLine="44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大学生以队为单位参赛，每队不超过3人(须属于同一所学校),专业不限。竞赛分本科、 </w:t>
      </w:r>
      <w:r>
        <w:rPr>
          <w:spacing w:val="-10"/>
          <w:sz w:val="22"/>
          <w:szCs w:val="22"/>
        </w:rPr>
        <w:t>高职高专两组进行，所有大学生均可参加本科组竞赛，但只有高职高专学生可以参加高职高专组竞</w:t>
      </w:r>
      <w:r>
        <w:rPr>
          <w:spacing w:val="4"/>
          <w:sz w:val="22"/>
          <w:szCs w:val="22"/>
        </w:rPr>
        <w:t xml:space="preserve">  </w:t>
      </w:r>
      <w:r>
        <w:rPr>
          <w:spacing w:val="-5"/>
          <w:sz w:val="22"/>
          <w:szCs w:val="22"/>
        </w:rPr>
        <w:t>赛(也可参加本科组竞赛)。研究生不得参加本项竞赛。每队最多可设一名指导教师或教师组，从</w:t>
      </w:r>
      <w:r>
        <w:rPr>
          <w:spacing w:val="6"/>
          <w:sz w:val="22"/>
          <w:szCs w:val="22"/>
        </w:rPr>
        <w:t xml:space="preserve">  </w:t>
      </w:r>
      <w:r>
        <w:rPr>
          <w:spacing w:val="-10"/>
          <w:sz w:val="22"/>
          <w:szCs w:val="22"/>
        </w:rPr>
        <w:t>事赛前辅导和参赛的组织工作，但在竞赛期间不</w:t>
      </w:r>
      <w:r>
        <w:rPr>
          <w:spacing w:val="-11"/>
          <w:sz w:val="22"/>
          <w:szCs w:val="22"/>
        </w:rPr>
        <w:t>得进行指导或参与讨论。</w:t>
      </w:r>
    </w:p>
    <w:p>
      <w:pPr>
        <w:pStyle w:val="4"/>
        <w:spacing w:before="88"/>
        <w:ind w:right="101" w:firstLine="449"/>
        <w:rPr>
          <w:sz w:val="22"/>
          <w:szCs w:val="22"/>
        </w:rPr>
      </w:pPr>
      <w:r>
        <w:rPr>
          <w:spacing w:val="-7"/>
          <w:sz w:val="22"/>
          <w:szCs w:val="22"/>
        </w:rPr>
        <w:t>3.</w:t>
      </w:r>
      <w:r>
        <w:rPr>
          <w:spacing w:val="-2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竟赛期间参赛队员可以使用各种图书资料(包括互联网上的公开资料)、计算机和软件，但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每个参赛队必须独立完成赛题解答。</w:t>
      </w:r>
    </w:p>
    <w:p>
      <w:pPr>
        <w:pStyle w:val="4"/>
        <w:spacing w:before="37" w:line="246" w:lineRule="auto"/>
        <w:ind w:right="98" w:firstLine="449"/>
        <w:rPr>
          <w:sz w:val="22"/>
          <w:szCs w:val="22"/>
        </w:rPr>
      </w:pPr>
      <w:r>
        <w:rPr>
          <w:spacing w:val="-11"/>
          <w:sz w:val="22"/>
          <w:szCs w:val="22"/>
        </w:rPr>
        <w:t>4.</w:t>
      </w:r>
      <w:r>
        <w:rPr>
          <w:spacing w:val="-6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竟赛开始后，赛题将公布在指定的网址供参赛队下载，</w:t>
      </w:r>
      <w:r>
        <w:rPr>
          <w:spacing w:val="-12"/>
          <w:sz w:val="22"/>
          <w:szCs w:val="22"/>
        </w:rPr>
        <w:t>参赛队在规定时间内完成答卷，并按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要求准时交卷。</w:t>
      </w:r>
    </w:p>
    <w:p>
      <w:pPr>
        <w:pStyle w:val="4"/>
        <w:spacing w:before="45" w:line="241" w:lineRule="auto"/>
        <w:ind w:right="97" w:firstLine="449"/>
        <w:rPr>
          <w:sz w:val="22"/>
          <w:szCs w:val="22"/>
        </w:rPr>
      </w:pPr>
      <w:r>
        <w:rPr>
          <w:spacing w:val="-11"/>
          <w:sz w:val="22"/>
          <w:szCs w:val="22"/>
        </w:rPr>
        <w:t>5.</w:t>
      </w:r>
      <w:r>
        <w:rPr>
          <w:spacing w:val="-5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参赛院校应责成有关职能部门负责竞赛的组织</w:t>
      </w:r>
      <w:r>
        <w:rPr>
          <w:spacing w:val="-12"/>
          <w:sz w:val="22"/>
          <w:szCs w:val="22"/>
        </w:rPr>
        <w:t>和纪律监督工作，保证本校竞赛的规范性和公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正性。</w:t>
      </w:r>
    </w:p>
    <w:p>
      <w:pPr>
        <w:spacing w:before="51" w:line="222" w:lineRule="auto"/>
        <w:ind w:left="377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z w:val="22"/>
          <w:szCs w:val="22"/>
        </w:rPr>
        <w:t>第四条组织形式</w:t>
      </w:r>
    </w:p>
    <w:p>
      <w:pPr>
        <w:pStyle w:val="4"/>
        <w:spacing w:before="38" w:line="247" w:lineRule="auto"/>
        <w:ind w:right="61" w:firstLine="44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1.</w:t>
      </w:r>
      <w:r>
        <w:rPr>
          <w:spacing w:val="-6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竞赛主办方设立全国大学生数学建模竞赛组织委</w:t>
      </w:r>
      <w:r>
        <w:rPr>
          <w:spacing w:val="-4"/>
          <w:sz w:val="22"/>
          <w:szCs w:val="22"/>
        </w:rPr>
        <w:t>员会(以下简称全国组委会),负责制定竞</w:t>
      </w:r>
      <w:r>
        <w:rPr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赛参赛规则、启动报名、拟定赛题、组织全国优秀答卷的复审和评奖、印制获奖证书、举办全国颁</w:t>
      </w:r>
      <w:r>
        <w:rPr>
          <w:spacing w:val="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奖仪式等。</w:t>
      </w:r>
    </w:p>
    <w:p>
      <w:pPr>
        <w:pStyle w:val="4"/>
        <w:spacing w:before="49" w:line="246" w:lineRule="auto"/>
        <w:ind w:right="60" w:firstLine="449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2.</w:t>
      </w:r>
      <w:r>
        <w:rPr>
          <w:spacing w:val="-2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竞赛分赛区组织进行。原则上一个省(自治区、直辖市、特别行政区)为一个赛区。每个赛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区建立组织委员会(以下简称赛区组委会),负责本赛区的宣传及报名、监督竞赛纪律和组织评阅</w:t>
      </w:r>
      <w:r>
        <w:rPr>
          <w:spacing w:val="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答卷等工作。未成立赛区的各省院校的参赛队可直接向全国组委会报名参赛。</w:t>
      </w:r>
    </w:p>
    <w:p>
      <w:pPr>
        <w:pStyle w:val="4"/>
        <w:spacing w:before="50" w:line="252" w:lineRule="auto"/>
        <w:ind w:right="98" w:firstLine="449"/>
        <w:jc w:val="both"/>
        <w:rPr>
          <w:sz w:val="22"/>
          <w:szCs w:val="22"/>
        </w:rPr>
      </w:pPr>
      <w:r>
        <w:rPr>
          <w:spacing w:val="-11"/>
          <w:sz w:val="22"/>
          <w:szCs w:val="22"/>
        </w:rPr>
        <w:t>3.</w:t>
      </w:r>
      <w:r>
        <w:rPr>
          <w:spacing w:val="-5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设立优秀组织工作奖，表彰在竞赛组织工作</w:t>
      </w:r>
      <w:r>
        <w:rPr>
          <w:spacing w:val="-12"/>
          <w:sz w:val="22"/>
          <w:szCs w:val="22"/>
        </w:rPr>
        <w:t>中成绩优异或进步突出的赛区组委会。优秀组织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工作奖以参赛的校数和队数、征题的数量和质量、赛风和竞赛纪律的把关、评阅工作的质量、结合</w:t>
      </w:r>
      <w:r>
        <w:rPr>
          <w:spacing w:val="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本赛区具体情况创造性地开展工作以及与全国组委</w:t>
      </w:r>
      <w:r>
        <w:rPr>
          <w:spacing w:val="-11"/>
          <w:sz w:val="22"/>
          <w:szCs w:val="22"/>
        </w:rPr>
        <w:t>会的配合等为主要标准。</w:t>
      </w:r>
    </w:p>
    <w:p>
      <w:pPr>
        <w:spacing w:before="55" w:line="221" w:lineRule="auto"/>
        <w:ind w:left="377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1"/>
          <w:sz w:val="22"/>
          <w:szCs w:val="22"/>
        </w:rPr>
        <w:t>第五条评奖办法</w:t>
      </w:r>
    </w:p>
    <w:p>
      <w:pPr>
        <w:pStyle w:val="4"/>
        <w:spacing w:before="40" w:line="245" w:lineRule="auto"/>
        <w:ind w:right="60" w:firstLine="449"/>
        <w:rPr>
          <w:rFonts w:hint="eastAsia" w:eastAsia="宋体"/>
          <w:sz w:val="22"/>
          <w:szCs w:val="22"/>
          <w:lang w:eastAsia="zh-CN"/>
        </w:rPr>
        <w:sectPr>
          <w:footerReference r:id="rId5" w:type="default"/>
          <w:pgSz w:w="11900" w:h="16830"/>
          <w:pgMar w:top="1400" w:right="1369" w:bottom="1342" w:left="1390" w:header="0" w:footer="1183" w:gutter="0"/>
          <w:cols w:space="720" w:num="1"/>
        </w:sectPr>
      </w:pPr>
      <w:r>
        <w:rPr>
          <w:spacing w:val="-8"/>
          <w:sz w:val="22"/>
          <w:szCs w:val="22"/>
        </w:rPr>
        <w:t>1.</w:t>
      </w:r>
      <w:r>
        <w:rPr>
          <w:spacing w:val="-3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各赛区组委会聘请专家组成赛区评阅专家组，</w:t>
      </w:r>
      <w:r>
        <w:rPr>
          <w:spacing w:val="-9"/>
          <w:sz w:val="22"/>
          <w:szCs w:val="22"/>
        </w:rPr>
        <w:t>评选本赛区的一等奖、二等奖(也可增设三等</w:t>
      </w:r>
      <w:r>
        <w:rPr>
          <w:spacing w:val="-7"/>
          <w:sz w:val="22"/>
          <w:szCs w:val="22"/>
        </w:rPr>
        <w:t>奖</w:t>
      </w:r>
      <w:r>
        <w:rPr>
          <w:spacing w:val="-4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)</w:t>
      </w:r>
      <w:r>
        <w:rPr>
          <w:spacing w:val="-54"/>
          <w:sz w:val="22"/>
          <w:szCs w:val="22"/>
        </w:rPr>
        <w:t xml:space="preserve"> </w:t>
      </w:r>
      <w:r>
        <w:rPr>
          <w:rFonts w:hint="eastAsia"/>
          <w:spacing w:val="-54"/>
          <w:sz w:val="22"/>
          <w:szCs w:val="22"/>
          <w:lang w:eastAsia="zh-CN"/>
        </w:rPr>
        <w:t>。</w:t>
      </w:r>
    </w:p>
    <w:p>
      <w:pPr>
        <w:pStyle w:val="4"/>
        <w:spacing w:before="43"/>
        <w:ind w:right="42" w:firstLine="396" w:firstLineChars="200"/>
        <w:rPr>
          <w:sz w:val="22"/>
          <w:szCs w:val="22"/>
        </w:rPr>
      </w:pPr>
      <w:r>
        <w:rPr>
          <w:spacing w:val="-11"/>
          <w:sz w:val="22"/>
          <w:szCs w:val="22"/>
        </w:rPr>
        <w:t>2.</w:t>
      </w:r>
      <w:r>
        <w:rPr>
          <w:spacing w:val="-3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各赛区组委会按全国组委会规定的数额将本赛区的优秀答卷送全国</w:t>
      </w:r>
      <w:r>
        <w:rPr>
          <w:spacing w:val="-12"/>
          <w:sz w:val="22"/>
          <w:szCs w:val="22"/>
        </w:rPr>
        <w:t>组委会。全国组委会聘请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专家组成全国评阅专家组，按统一标准从各赛区送交的优秀答卷中评选出全国一等奖、二等奖。</w:t>
      </w:r>
    </w:p>
    <w:p>
      <w:pPr>
        <w:pStyle w:val="4"/>
        <w:spacing w:before="38"/>
        <w:ind w:right="45" w:firstLine="419"/>
        <w:rPr>
          <w:sz w:val="22"/>
          <w:szCs w:val="22"/>
        </w:rPr>
      </w:pPr>
      <w:r>
        <w:rPr>
          <w:spacing w:val="-10"/>
          <w:sz w:val="22"/>
          <w:szCs w:val="22"/>
        </w:rPr>
        <w:t>3.</w:t>
      </w:r>
      <w:r>
        <w:rPr>
          <w:spacing w:val="-3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对违反竞赛规则的参赛队，</w:t>
      </w:r>
      <w:bookmarkStart w:id="0" w:name="_GoBack"/>
      <w:bookmarkEnd w:id="0"/>
      <w:r>
        <w:rPr>
          <w:spacing w:val="-10"/>
          <w:sz w:val="22"/>
          <w:szCs w:val="22"/>
        </w:rPr>
        <w:t>一经查实，即取消评奖资格，并由全国组委会(或赛区</w:t>
      </w:r>
      <w:r>
        <w:rPr>
          <w:spacing w:val="-11"/>
          <w:sz w:val="22"/>
          <w:szCs w:val="22"/>
        </w:rPr>
        <w:t>组委会)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根据具体情况作出相应处理。</w:t>
      </w:r>
    </w:p>
    <w:p>
      <w:pPr>
        <w:spacing w:before="54" w:line="222" w:lineRule="auto"/>
        <w:ind w:left="344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第六条公示和异议制度</w:t>
      </w:r>
    </w:p>
    <w:p>
      <w:pPr>
        <w:pStyle w:val="4"/>
        <w:spacing w:before="50" w:line="219" w:lineRule="auto"/>
        <w:ind w:left="419"/>
        <w:rPr>
          <w:sz w:val="22"/>
          <w:szCs w:val="22"/>
        </w:rPr>
      </w:pPr>
      <w:r>
        <w:rPr>
          <w:spacing w:val="-5"/>
          <w:sz w:val="22"/>
          <w:szCs w:val="22"/>
        </w:rPr>
        <w:t>1.</w:t>
      </w:r>
      <w:r>
        <w:rPr>
          <w:spacing w:val="-3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竞赛设立公示制度，全国和各赛区获奖名单公示期为7</w:t>
      </w:r>
      <w:r>
        <w:rPr>
          <w:spacing w:val="-6"/>
          <w:sz w:val="22"/>
          <w:szCs w:val="22"/>
        </w:rPr>
        <w:t>天。</w:t>
      </w:r>
    </w:p>
    <w:p>
      <w:pPr>
        <w:pStyle w:val="4"/>
        <w:spacing w:before="67" w:line="231" w:lineRule="auto"/>
        <w:ind w:right="27" w:firstLine="419"/>
        <w:rPr>
          <w:sz w:val="22"/>
          <w:szCs w:val="22"/>
        </w:rPr>
      </w:pPr>
      <w:r>
        <w:rPr>
          <w:spacing w:val="-9"/>
          <w:sz w:val="22"/>
          <w:szCs w:val="22"/>
        </w:rPr>
        <w:t>2. 竞赛设立异议制度。竞赛开始至竞赛结束后6个月内，任何个人和单位都可以提出异议，由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全国组委会(或各赛区组委会)负责受理。</w:t>
      </w:r>
    </w:p>
    <w:p>
      <w:pPr>
        <w:pStyle w:val="4"/>
        <w:spacing w:before="39" w:line="252" w:lineRule="auto"/>
        <w:ind w:right="39" w:firstLine="419"/>
        <w:rPr>
          <w:sz w:val="22"/>
          <w:szCs w:val="22"/>
        </w:rPr>
      </w:pPr>
      <w:r>
        <w:rPr>
          <w:spacing w:val="-11"/>
          <w:sz w:val="22"/>
          <w:szCs w:val="22"/>
        </w:rPr>
        <w:t>3.</w:t>
      </w:r>
      <w:r>
        <w:rPr>
          <w:spacing w:val="-3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异议包括举报和申诉，均须以书面形式提出。受理举报的</w:t>
      </w:r>
      <w:r>
        <w:rPr>
          <w:spacing w:val="-12"/>
          <w:sz w:val="22"/>
          <w:szCs w:val="22"/>
        </w:rPr>
        <w:t>重点是违反竞赛纪律的行为；受理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申诉的重点是对竞赛违纪处罚的申辩。对于要求将答卷复评或者提高获奖等级的申诉，原则上不予</w:t>
      </w:r>
      <w:r>
        <w:rPr>
          <w:spacing w:val="1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受理，特殊情况可先经各赛区组委会审核后，由各赛区组</w:t>
      </w:r>
      <w:r>
        <w:rPr>
          <w:spacing w:val="-11"/>
          <w:sz w:val="22"/>
          <w:szCs w:val="22"/>
        </w:rPr>
        <w:t>委会报全国组委会核查。</w:t>
      </w:r>
    </w:p>
    <w:p>
      <w:pPr>
        <w:pStyle w:val="4"/>
        <w:spacing w:before="59" w:line="241" w:lineRule="auto"/>
        <w:ind w:right="42" w:firstLine="419"/>
        <w:rPr>
          <w:sz w:val="22"/>
          <w:szCs w:val="22"/>
        </w:rPr>
      </w:pPr>
      <w:r>
        <w:rPr>
          <w:spacing w:val="-11"/>
          <w:sz w:val="22"/>
          <w:szCs w:val="22"/>
        </w:rPr>
        <w:t>4.</w:t>
      </w:r>
      <w:r>
        <w:rPr>
          <w:spacing w:val="-5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举报应提供具体明确的证据或线索。对于提供本人真实姓名和联系方式的举报人，全国组委</w:t>
      </w:r>
      <w:r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会或各赛区组委会应在收到举报后两个月内向举报人答复处理结果。全国组委会及各赛区组委会对</w:t>
      </w:r>
      <w:r>
        <w:rPr>
          <w:spacing w:val="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举报人的个人信息予以保密。</w:t>
      </w:r>
    </w:p>
    <w:p>
      <w:pPr>
        <w:pStyle w:val="4"/>
        <w:spacing w:before="69"/>
        <w:ind w:right="41" w:firstLine="419"/>
        <w:rPr>
          <w:sz w:val="22"/>
          <w:szCs w:val="22"/>
        </w:rPr>
      </w:pPr>
      <w:r>
        <w:rPr>
          <w:spacing w:val="-12"/>
          <w:sz w:val="22"/>
          <w:szCs w:val="22"/>
        </w:rPr>
        <w:t>5. 与被举报的参赛队有关的学校管理部门，有责任协助全国组委会及各赛区组委会对举报进行</w:t>
      </w:r>
      <w:r>
        <w:rPr>
          <w:spacing w:val="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调查，并提出处理意见。</w:t>
      </w:r>
    </w:p>
    <w:p>
      <w:pPr>
        <w:pStyle w:val="4"/>
        <w:spacing w:before="57" w:line="244" w:lineRule="auto"/>
        <w:ind w:firstLine="419"/>
        <w:rPr>
          <w:sz w:val="22"/>
          <w:szCs w:val="22"/>
        </w:rPr>
      </w:pPr>
      <w:r>
        <w:rPr>
          <w:spacing w:val="-14"/>
          <w:sz w:val="22"/>
          <w:szCs w:val="22"/>
        </w:rPr>
        <w:t>6.</w:t>
      </w:r>
      <w:r>
        <w:rPr>
          <w:spacing w:val="-20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申诉必须由当事人提出。个人提出的申诉，须写明本人的真实姓名、所在单位、联系方式(包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括联系电话和电子邮件地址等),并有本人的亲笔签名；单位提出的申诉，须写明联</w:t>
      </w:r>
      <w:r>
        <w:rPr>
          <w:spacing w:val="-6"/>
          <w:sz w:val="22"/>
          <w:szCs w:val="22"/>
        </w:rPr>
        <w:t>系人的姓名、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联系方式(包括联系电话或电子邮件地址等),并加盖单位公章。全国组委会或各</w:t>
      </w:r>
      <w:r>
        <w:rPr>
          <w:spacing w:val="-2"/>
          <w:sz w:val="22"/>
          <w:szCs w:val="22"/>
        </w:rPr>
        <w:t>赛区组委会应在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收到申诉后两个月内向申诉人答复处理结果。</w:t>
      </w:r>
    </w:p>
    <w:p>
      <w:pPr>
        <w:spacing w:before="74" w:line="221" w:lineRule="auto"/>
        <w:ind w:left="322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3"/>
          <w:sz w:val="22"/>
          <w:szCs w:val="22"/>
        </w:rPr>
        <w:t>第七条竞赛经费来源与使用</w:t>
      </w:r>
    </w:p>
    <w:p>
      <w:pPr>
        <w:pStyle w:val="4"/>
        <w:spacing w:before="62" w:line="219" w:lineRule="auto"/>
        <w:ind w:left="419"/>
        <w:rPr>
          <w:sz w:val="22"/>
          <w:szCs w:val="22"/>
        </w:rPr>
      </w:pPr>
      <w:r>
        <w:rPr>
          <w:spacing w:val="-11"/>
          <w:sz w:val="22"/>
          <w:szCs w:val="22"/>
        </w:rPr>
        <w:t>1.</w:t>
      </w:r>
      <w:r>
        <w:rPr>
          <w:spacing w:val="-2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经费来源主要包括：</w:t>
      </w:r>
    </w:p>
    <w:p>
      <w:pPr>
        <w:pStyle w:val="4"/>
        <w:spacing w:before="38" w:line="309" w:lineRule="exact"/>
        <w:ind w:left="419"/>
        <w:rPr>
          <w:sz w:val="22"/>
          <w:szCs w:val="22"/>
        </w:rPr>
      </w:pPr>
      <w:r>
        <w:rPr>
          <w:spacing w:val="-6"/>
          <w:position w:val="6"/>
          <w:sz w:val="22"/>
          <w:szCs w:val="22"/>
        </w:rPr>
        <w:t>(1)各级教育行政管理部门的资助；</w:t>
      </w:r>
    </w:p>
    <w:p>
      <w:pPr>
        <w:pStyle w:val="4"/>
        <w:spacing w:before="1" w:line="218" w:lineRule="auto"/>
        <w:ind w:left="419"/>
        <w:rPr>
          <w:sz w:val="22"/>
          <w:szCs w:val="22"/>
        </w:rPr>
      </w:pPr>
      <w:r>
        <w:rPr>
          <w:spacing w:val="-2"/>
          <w:sz w:val="22"/>
          <w:szCs w:val="22"/>
        </w:rPr>
        <w:t>(2)社会各界的资助；</w:t>
      </w:r>
    </w:p>
    <w:p>
      <w:pPr>
        <w:pStyle w:val="4"/>
        <w:spacing w:before="51" w:line="219" w:lineRule="auto"/>
        <w:ind w:left="419"/>
        <w:rPr>
          <w:sz w:val="22"/>
          <w:szCs w:val="22"/>
        </w:rPr>
      </w:pPr>
      <w:r>
        <w:rPr>
          <w:spacing w:val="4"/>
          <w:sz w:val="22"/>
          <w:szCs w:val="22"/>
        </w:rPr>
        <w:t>(3)参赛费。</w:t>
      </w:r>
    </w:p>
    <w:p>
      <w:pPr>
        <w:pStyle w:val="4"/>
        <w:spacing w:before="59" w:line="219" w:lineRule="auto"/>
        <w:ind w:left="419"/>
        <w:rPr>
          <w:sz w:val="22"/>
          <w:szCs w:val="22"/>
        </w:rPr>
      </w:pPr>
      <w:r>
        <w:rPr>
          <w:spacing w:val="-10"/>
          <w:sz w:val="22"/>
          <w:szCs w:val="22"/>
        </w:rPr>
        <w:t>2. 经费使用按国家有关规定执行，用于支持与竞赛相关的活动。</w:t>
      </w:r>
    </w:p>
    <w:p>
      <w:pPr>
        <w:spacing w:before="54" w:line="222" w:lineRule="auto"/>
        <w:ind w:left="365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第八条解释与修改</w:t>
      </w:r>
    </w:p>
    <w:p>
      <w:pPr>
        <w:pStyle w:val="4"/>
        <w:spacing w:before="40" w:line="246" w:lineRule="auto"/>
        <w:ind w:right="38" w:firstLine="41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本章程从2023年12月1日开始试行，其解释和修改权属于中国工业与应用数学学会。本章程</w:t>
      </w:r>
      <w:r>
        <w:rPr>
          <w:spacing w:val="1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未详述的内容详见本项竞赛全国组委会制定的《全国大学生数学建模竞赛参赛规则》。凡参与本项</w:t>
      </w:r>
      <w:r>
        <w:rPr>
          <w:spacing w:val="1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竞赛的相关主体均视为无条件接受本章程。</w:t>
      </w:r>
    </w:p>
    <w:p>
      <w:pPr>
        <w:spacing w:line="246" w:lineRule="auto"/>
        <w:rPr>
          <w:sz w:val="22"/>
          <w:szCs w:val="22"/>
        </w:rPr>
        <w:sectPr>
          <w:footerReference r:id="rId6" w:type="default"/>
          <w:pgSz w:w="11900" w:h="16830"/>
          <w:pgMar w:top="1424" w:right="1408" w:bottom="1342" w:left="1410" w:header="0" w:footer="1183" w:gutter="0"/>
          <w:cols w:space="720" w:num="1"/>
        </w:sectPr>
      </w:pPr>
    </w:p>
    <w:p>
      <w:p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71" w:lineRule="auto"/>
      <w:ind w:left="4489"/>
      <w:rPr>
        <w:sz w:val="16"/>
        <w:szCs w:val="16"/>
      </w:rPr>
    </w:pPr>
    <w:r>
      <w:rPr>
        <w:color w:val="788694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71" w:lineRule="auto"/>
      <w:ind w:left="4469"/>
      <w:rPr>
        <w:sz w:val="16"/>
        <w:szCs w:val="16"/>
      </w:rPr>
    </w:pPr>
    <w:r>
      <w:rPr>
        <w:color w:val="C5772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Tg2NTMwOTQ2ZmQ2OWI0YTM2YjA1ODcyNGJlYWQifQ=="/>
  </w:docVars>
  <w:rsids>
    <w:rsidRoot w:val="00000000"/>
    <w:rsid w:val="18DB2067"/>
    <w:rsid w:val="1E144757"/>
    <w:rsid w:val="567A69A5"/>
    <w:rsid w:val="5E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460" w:right="0" w:hanging="10"/>
      <w:jc w:val="center"/>
      <w:outlineLvl w:val="0"/>
    </w:pPr>
    <w:rPr>
      <w:rFonts w:hint="eastAsia" w:ascii="微软雅黑" w:hAnsi="微软雅黑" w:eastAsia="微软雅黑" w:cs="微软雅黑"/>
      <w:color w:val="000000"/>
      <w:kern w:val="2"/>
      <w:sz w:val="26"/>
      <w:szCs w:val="24"/>
      <w:lang w:val="en-US" w:eastAsia="zh-CN"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10" w:right="0" w:hanging="10"/>
      <w:jc w:val="center"/>
      <w:outlineLvl w:val="1"/>
    </w:pPr>
    <w:rPr>
      <w:rFonts w:hint="eastAsia" w:ascii="微软雅黑" w:hAnsi="微软雅黑" w:eastAsia="微软雅黑" w:cs="微软雅黑"/>
      <w:color w:val="000000"/>
      <w:kern w:val="2"/>
      <w:sz w:val="22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7">
    <w:name w:val="标题 2 字符"/>
    <w:basedOn w:val="6"/>
    <w:link w:val="3"/>
    <w:autoRedefine/>
    <w:qFormat/>
    <w:uiPriority w:val="0"/>
    <w:rPr>
      <w:rFonts w:hint="eastAsia" w:ascii="微软雅黑" w:hAnsi="微软雅黑" w:eastAsia="微软雅黑" w:cs="微软雅黑"/>
      <w:color w:val="000000"/>
    </w:rPr>
  </w:style>
  <w:style w:type="character" w:customStyle="1" w:styleId="8">
    <w:name w:val="标题 1 字符"/>
    <w:basedOn w:val="6"/>
    <w:link w:val="2"/>
    <w:autoRedefine/>
    <w:qFormat/>
    <w:uiPriority w:val="0"/>
    <w:rPr>
      <w:rFonts w:hint="eastAsia" w:ascii="微软雅黑" w:hAnsi="微软雅黑" w:eastAsia="微软雅黑" w:cs="微软雅黑"/>
      <w:color w:val="000000"/>
      <w:sz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2024-05-10T03:19:00Z</dcterms:created>
  <dc:creator>asus</dc:creator>
  <cp:lastModifiedBy>WPS_1695731660</cp:lastModifiedBy>
  <dcterms:modified xsi:type="dcterms:W3CDTF">2024-05-10T04:56:01Z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75A747620AC749A4ABB52FCE4C358138_12</vt:lpwstr>
  </property>
</Properties>
</file>